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E92EF" w14:textId="48942F6B" w:rsidR="00347C4D" w:rsidRPr="00CE0EAD" w:rsidRDefault="00347C4D" w:rsidP="00347C4D">
      <w:pPr>
        <w:pStyle w:val="Subtitle"/>
        <w:rPr>
          <w:rStyle w:val="BookTitle"/>
          <w:i w:val="0"/>
        </w:rPr>
      </w:pPr>
      <w:r w:rsidRPr="00CE0EAD">
        <w:rPr>
          <w:rStyle w:val="BookTitle"/>
          <w:i w:val="0"/>
        </w:rPr>
        <w:t>3GPP TSG RAN WG1 Meeting #</w:t>
      </w:r>
      <w:r>
        <w:rPr>
          <w:rStyle w:val="BookTitle"/>
          <w:i w:val="0"/>
        </w:rPr>
        <w:t>10</w:t>
      </w:r>
      <w:r w:rsidR="00E27A33">
        <w:rPr>
          <w:rStyle w:val="BookTitle"/>
          <w:i w:val="0"/>
        </w:rPr>
        <w:t>6</w:t>
      </w:r>
      <w:r w:rsidR="00980FF4">
        <w:rPr>
          <w:rStyle w:val="BookTitle"/>
          <w:i w:val="0"/>
        </w:rPr>
        <w:t>bis</w:t>
      </w:r>
      <w:r w:rsidR="006B0823">
        <w:rPr>
          <w:rStyle w:val="BookTitle"/>
          <w:i w:val="0"/>
        </w:rPr>
        <w:t>-</w:t>
      </w:r>
      <w:r>
        <w:rPr>
          <w:rStyle w:val="BookTitle"/>
          <w:i w:val="0"/>
        </w:rPr>
        <w:t xml:space="preserve">e     </w:t>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Pr>
          <w:rStyle w:val="BookTitle"/>
          <w:i w:val="0"/>
        </w:rPr>
        <w:t xml:space="preserve">  </w:t>
      </w:r>
      <w:r w:rsidRPr="00CE0EAD">
        <w:rPr>
          <w:rStyle w:val="BookTitle"/>
          <w:i w:val="0"/>
        </w:rPr>
        <w:t>R1</w:t>
      </w:r>
      <w:r>
        <w:rPr>
          <w:rStyle w:val="BookTitle"/>
          <w:i w:val="0"/>
        </w:rPr>
        <w:t>-</w:t>
      </w:r>
      <w:r w:rsidR="006B0823">
        <w:rPr>
          <w:rStyle w:val="BookTitle"/>
          <w:i w:val="0"/>
        </w:rPr>
        <w:t>2110206</w:t>
      </w:r>
    </w:p>
    <w:p w14:paraId="17E79A24" w14:textId="4839E4BD" w:rsidR="00347C4D" w:rsidRPr="00CE0EAD" w:rsidRDefault="00347C4D" w:rsidP="00347C4D">
      <w:pPr>
        <w:pStyle w:val="Subtitle"/>
        <w:rPr>
          <w:rStyle w:val="BookTitle"/>
          <w:i w:val="0"/>
        </w:rPr>
      </w:pPr>
      <w:r>
        <w:rPr>
          <w:rStyle w:val="BookTitle"/>
          <w:i w:val="0"/>
        </w:rPr>
        <w:t>1</w:t>
      </w:r>
      <w:r w:rsidR="00980FF4">
        <w:rPr>
          <w:rStyle w:val="BookTitle"/>
          <w:i w:val="0"/>
        </w:rPr>
        <w:t>1</w:t>
      </w:r>
      <w:r>
        <w:rPr>
          <w:rStyle w:val="BookTitle"/>
          <w:vertAlign w:val="superscript"/>
        </w:rPr>
        <w:t>th</w:t>
      </w:r>
      <w:r>
        <w:rPr>
          <w:rStyle w:val="BookTitle"/>
        </w:rPr>
        <w:t xml:space="preserve"> </w:t>
      </w:r>
      <w:r w:rsidR="00F919FE">
        <w:rPr>
          <w:rStyle w:val="BookTitle"/>
          <w:i w:val="0"/>
        </w:rPr>
        <w:t>Oct</w:t>
      </w:r>
      <w:r w:rsidR="00980FF4">
        <w:rPr>
          <w:rStyle w:val="BookTitle"/>
          <w:i w:val="0"/>
        </w:rPr>
        <w:t>ober</w:t>
      </w:r>
      <w:r>
        <w:rPr>
          <w:rStyle w:val="BookTitle"/>
          <w:i w:val="0"/>
        </w:rPr>
        <w:t xml:space="preserve"> </w:t>
      </w:r>
      <w:r>
        <w:rPr>
          <w:rStyle w:val="BookTitle"/>
        </w:rPr>
        <w:t xml:space="preserve">– </w:t>
      </w:r>
      <w:r w:rsidR="00980FF4">
        <w:rPr>
          <w:rStyle w:val="BookTitle"/>
          <w:i w:val="0"/>
        </w:rPr>
        <w:t>19</w:t>
      </w:r>
      <w:r>
        <w:rPr>
          <w:rStyle w:val="BookTitle"/>
          <w:vertAlign w:val="superscript"/>
        </w:rPr>
        <w:t>th</w:t>
      </w:r>
      <w:r>
        <w:rPr>
          <w:rStyle w:val="BookTitle"/>
        </w:rPr>
        <w:t xml:space="preserve"> </w:t>
      </w:r>
      <w:r w:rsidR="00980FF4">
        <w:rPr>
          <w:rStyle w:val="BookTitle"/>
          <w:i w:val="0"/>
        </w:rPr>
        <w:t>October</w:t>
      </w:r>
      <w:r>
        <w:rPr>
          <w:rStyle w:val="BookTitle"/>
        </w:rPr>
        <w:t xml:space="preserve"> </w:t>
      </w:r>
      <w:r w:rsidRPr="002F0F57">
        <w:rPr>
          <w:rStyle w:val="BookTitle"/>
          <w:i w:val="0"/>
          <w:iCs w:val="0"/>
        </w:rPr>
        <w:t>202</w:t>
      </w:r>
      <w:r>
        <w:rPr>
          <w:rStyle w:val="BookTitle"/>
          <w:i w:val="0"/>
          <w:iCs w:val="0"/>
        </w:rPr>
        <w:t>1</w:t>
      </w:r>
    </w:p>
    <w:p w14:paraId="2B111D36" w14:textId="77777777" w:rsidR="00347C4D" w:rsidRPr="002B4616" w:rsidRDefault="00347C4D" w:rsidP="00347C4D">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Pr>
          <w:rStyle w:val="SubtitleChar"/>
        </w:rPr>
        <w:t>8.10.1</w:t>
      </w:r>
    </w:p>
    <w:p w14:paraId="4A9A7B0E" w14:textId="77777777" w:rsidR="00347C4D" w:rsidRPr="00131C46" w:rsidRDefault="00347C4D" w:rsidP="00347C4D">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236FAB25" w14:textId="77777777" w:rsidR="00347C4D" w:rsidRPr="002B4616" w:rsidRDefault="00347C4D" w:rsidP="00347C4D">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Pr>
          <w:rStyle w:val="IntenseReference"/>
        </w:rPr>
        <w:tab/>
      </w:r>
      <w:r>
        <w:rPr>
          <w:rStyle w:val="SubtitleChar"/>
        </w:rPr>
        <w:t>Resource management for enhanced duplexing</w:t>
      </w:r>
    </w:p>
    <w:p w14:paraId="0E0562DE" w14:textId="77777777" w:rsidR="00347C4D" w:rsidRPr="002B4616" w:rsidRDefault="00347C4D" w:rsidP="00347C4D">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Pr>
          <w:rStyle w:val="IntenseReference"/>
        </w:rPr>
        <w:tab/>
      </w:r>
      <w:r w:rsidRPr="002B4616">
        <w:rPr>
          <w:rStyle w:val="SubtitleChar"/>
        </w:rPr>
        <w:t>Discussion and decision</w:t>
      </w:r>
    </w:p>
    <w:p w14:paraId="7FAE8981" w14:textId="77777777" w:rsidR="00347C4D" w:rsidRDefault="00347C4D" w:rsidP="00347C4D">
      <w:pPr>
        <w:pStyle w:val="Heading2"/>
      </w:pPr>
      <w:r>
        <w:t xml:space="preserve">1. </w:t>
      </w:r>
      <w:r w:rsidRPr="0044654D">
        <w:t>Introduction</w:t>
      </w:r>
    </w:p>
    <w:p w14:paraId="65DE162B" w14:textId="5B28A457" w:rsidR="00347C4D" w:rsidRDefault="00347C4D" w:rsidP="00347C4D">
      <w:r>
        <w:t xml:space="preserve">This contribution provides our view on the IAB resource management framework in the context of the Rel-17 IAB WID [1] objectives.     </w:t>
      </w:r>
    </w:p>
    <w:p w14:paraId="140556A7" w14:textId="77777777" w:rsidR="00347C4D" w:rsidRDefault="00347C4D" w:rsidP="00347C4D">
      <w:pPr>
        <w:pStyle w:val="Heading2"/>
      </w:pPr>
      <w:bookmarkStart w:id="0" w:name="_Hlk32401284"/>
      <w:bookmarkStart w:id="1" w:name="_Hlk24102609"/>
      <w:r>
        <w:t xml:space="preserve">2. </w:t>
      </w:r>
      <w:r w:rsidRPr="00431F86">
        <w:t xml:space="preserve">Extension of </w:t>
      </w:r>
      <w:r>
        <w:t>r</w:t>
      </w:r>
      <w:r w:rsidRPr="00431F86">
        <w:t xml:space="preserve">esource </w:t>
      </w:r>
      <w:r>
        <w:t>m</w:t>
      </w:r>
      <w:r w:rsidRPr="00431F86">
        <w:t xml:space="preserve">anagement to </w:t>
      </w:r>
      <w:r>
        <w:t>f</w:t>
      </w:r>
      <w:r w:rsidRPr="00431F86">
        <w:t xml:space="preserve">requency </w:t>
      </w:r>
      <w:r>
        <w:t>d</w:t>
      </w:r>
      <w:r w:rsidRPr="00431F86">
        <w:t>omain</w:t>
      </w:r>
    </w:p>
    <w:bookmarkEnd w:id="0"/>
    <w:bookmarkEnd w:id="1"/>
    <w:p w14:paraId="618B6E82" w14:textId="2450FE1D" w:rsidR="00A85844" w:rsidRDefault="00A85844" w:rsidP="00A85844">
      <w:pPr>
        <w:pStyle w:val="Heading3"/>
      </w:pPr>
      <w:r>
        <w:t xml:space="preserve">2.1 </w:t>
      </w:r>
      <w:r w:rsidR="004E437E">
        <w:t>Supporting semi-static frequency-domain resource configuration</w:t>
      </w:r>
    </w:p>
    <w:p w14:paraId="2BD9EEC7" w14:textId="4E605AE2" w:rsidR="00347C4D" w:rsidRDefault="00347C4D" w:rsidP="00347C4D">
      <w:pPr>
        <w:jc w:val="both"/>
      </w:pPr>
      <w:r>
        <w:t>The following agreements have been made in</w:t>
      </w:r>
      <w:r w:rsidR="00F27DDC">
        <w:t xml:space="preserve"> </w:t>
      </w:r>
      <w:r>
        <w:t>RAN1-10</w:t>
      </w:r>
      <w:r w:rsidR="00FE1A79">
        <w:t>6</w:t>
      </w:r>
      <w:r>
        <w:t>e [</w:t>
      </w:r>
      <w:r w:rsidR="00F27DDC">
        <w:t>x</w:t>
      </w:r>
      <w:r>
        <w:t xml:space="preserve">] regarding </w:t>
      </w:r>
      <w:r w:rsidR="00B52683">
        <w:t xml:space="preserve">supporting </w:t>
      </w:r>
      <w:r w:rsidR="000E6ADF">
        <w:t>semi-static frequency-domain H/S/NA configuration</w:t>
      </w:r>
      <w:r w:rsidR="00D8604E">
        <w:t xml:space="preserve"> in Rel-17</w:t>
      </w:r>
      <w:r w:rsidR="000E6ADF">
        <w:t xml:space="preserve">. </w:t>
      </w:r>
    </w:p>
    <w:tbl>
      <w:tblPr>
        <w:tblStyle w:val="TableGrid"/>
        <w:tblW w:w="0" w:type="auto"/>
        <w:tblLook w:val="04A0" w:firstRow="1" w:lastRow="0" w:firstColumn="1" w:lastColumn="0" w:noHBand="0" w:noVBand="1"/>
      </w:tblPr>
      <w:tblGrid>
        <w:gridCol w:w="9629"/>
      </w:tblGrid>
      <w:tr w:rsidR="00347C4D" w14:paraId="3F8ABFBF" w14:textId="77777777" w:rsidTr="003A2C92">
        <w:tc>
          <w:tcPr>
            <w:tcW w:w="9629" w:type="dxa"/>
          </w:tcPr>
          <w:p w14:paraId="17C4A92B" w14:textId="73ADB0D2" w:rsidR="00890AA7" w:rsidRDefault="00890AA7" w:rsidP="00890AA7">
            <w:pPr>
              <w:spacing w:after="0"/>
              <w:rPr>
                <w:rFonts w:cs="Times"/>
                <w:b/>
              </w:rPr>
            </w:pPr>
            <w:r w:rsidRPr="00DA64B4">
              <w:rPr>
                <w:rFonts w:cs="Times"/>
                <w:b/>
                <w:highlight w:val="green"/>
              </w:rPr>
              <w:t>Agreement</w:t>
            </w:r>
            <w:r w:rsidR="0050715C">
              <w:rPr>
                <w:rFonts w:cs="Times"/>
                <w:b/>
              </w:rPr>
              <w:t xml:space="preserve"> </w:t>
            </w:r>
          </w:p>
          <w:p w14:paraId="5482A564" w14:textId="656967EC" w:rsidR="00890AA7" w:rsidRPr="00890AA7" w:rsidRDefault="00890AA7" w:rsidP="00890AA7">
            <w:pPr>
              <w:rPr>
                <w:rFonts w:cs="Times"/>
                <w:b/>
                <w:highlight w:val="green"/>
              </w:rPr>
            </w:pPr>
            <w:r w:rsidRPr="00DA64B4">
              <w:rPr>
                <w:rFonts w:cs="Times"/>
                <w:bCs/>
              </w:rPr>
              <w:t>The semi-static configuration of H/S/NA resource type in frequency domain is provided per RB set, per D/U/F resource type within a slot.</w:t>
            </w:r>
          </w:p>
          <w:p w14:paraId="6B81763C" w14:textId="77777777" w:rsidR="00EF6203" w:rsidRDefault="00EF6203" w:rsidP="00EF6203">
            <w:pPr>
              <w:spacing w:after="0"/>
              <w:rPr>
                <w:rFonts w:cs="Times"/>
                <w:b/>
              </w:rPr>
            </w:pPr>
            <w:r w:rsidRPr="00AA0687">
              <w:rPr>
                <w:rFonts w:cs="Times"/>
                <w:b/>
                <w:highlight w:val="green"/>
              </w:rPr>
              <w:t>Agreement</w:t>
            </w:r>
          </w:p>
          <w:p w14:paraId="23D92A1F" w14:textId="097F5B54" w:rsidR="00890AA7" w:rsidRPr="00EF6203" w:rsidRDefault="00EF6203" w:rsidP="00EF6203">
            <w:pPr>
              <w:rPr>
                <w:rFonts w:cs="Times"/>
                <w:b/>
                <w:highlight w:val="green"/>
              </w:rPr>
            </w:pPr>
            <w:r w:rsidRPr="00AA0687">
              <w:rPr>
                <w:rFonts w:cs="Times"/>
              </w:rPr>
              <w:t>For a given RB set at a symbol, if Rel-17 frequency domain H/S/NA configuration is not provided, the Rel-16 time domain H/S/NA is applied</w:t>
            </w:r>
            <w:r w:rsidR="00495F9E">
              <w:rPr>
                <w:rFonts w:cs="Times"/>
              </w:rPr>
              <w:t>.</w:t>
            </w:r>
          </w:p>
          <w:p w14:paraId="40D6C082" w14:textId="77777777" w:rsidR="00D04171" w:rsidRPr="00AA0687" w:rsidRDefault="00D04171" w:rsidP="0019289D">
            <w:pPr>
              <w:spacing w:after="0"/>
              <w:rPr>
                <w:rFonts w:cs="Times"/>
                <w:b/>
                <w:highlight w:val="green"/>
              </w:rPr>
            </w:pPr>
            <w:r w:rsidRPr="00AA0687">
              <w:rPr>
                <w:rFonts w:cs="Times"/>
                <w:b/>
                <w:highlight w:val="green"/>
              </w:rPr>
              <w:t>Agreement</w:t>
            </w:r>
          </w:p>
          <w:p w14:paraId="09A41F69" w14:textId="77777777" w:rsidR="00D04171" w:rsidRPr="00AA0687" w:rsidRDefault="00D04171" w:rsidP="0019289D">
            <w:pPr>
              <w:spacing w:after="0"/>
              <w:rPr>
                <w:rFonts w:cs="Times"/>
              </w:rPr>
            </w:pPr>
            <w:r w:rsidRPr="00AA0687">
              <w:rPr>
                <w:rFonts w:cs="Times"/>
              </w:rPr>
              <w:t>N is a configured number of PRBs, where the CU configures N</w:t>
            </w:r>
          </w:p>
          <w:p w14:paraId="7855ACFF" w14:textId="77777777" w:rsidR="00D04171" w:rsidRPr="00820187" w:rsidRDefault="00D04171" w:rsidP="00BE3BD9">
            <w:pPr>
              <w:pStyle w:val="ListParagraph"/>
              <w:numPr>
                <w:ilvl w:val="0"/>
                <w:numId w:val="9"/>
              </w:numPr>
              <w:overflowPunct/>
              <w:autoSpaceDE/>
              <w:autoSpaceDN/>
              <w:adjustRightInd/>
              <w:spacing w:after="0"/>
              <w:jc w:val="both"/>
              <w:textAlignment w:val="auto"/>
              <w:rPr>
                <w:rFonts w:cs="Times"/>
              </w:rPr>
            </w:pPr>
            <w:r w:rsidRPr="00820187">
              <w:rPr>
                <w:rFonts w:cs="Times"/>
              </w:rPr>
              <w:t>N = {2, 4, 8, 16, 32, 64}</w:t>
            </w:r>
          </w:p>
          <w:p w14:paraId="0F9498E6" w14:textId="77777777" w:rsidR="00D04171" w:rsidRDefault="00D04171" w:rsidP="00BE3BD9">
            <w:pPr>
              <w:pStyle w:val="ListParagraph"/>
              <w:numPr>
                <w:ilvl w:val="0"/>
                <w:numId w:val="8"/>
              </w:numPr>
              <w:overflowPunct/>
              <w:autoSpaceDE/>
              <w:autoSpaceDN/>
              <w:adjustRightInd/>
              <w:spacing w:after="0"/>
              <w:jc w:val="both"/>
              <w:textAlignment w:val="auto"/>
              <w:rPr>
                <w:rFonts w:cs="Times"/>
              </w:rPr>
            </w:pPr>
            <w:r w:rsidRPr="00AA0687">
              <w:rPr>
                <w:rFonts w:cs="Times"/>
              </w:rPr>
              <w:t>FFS: Value(s) of N in case of multiple configured BWPs at the IAB-MT</w:t>
            </w:r>
          </w:p>
          <w:p w14:paraId="1BD46DF3" w14:textId="6DB1A8C3" w:rsidR="00580D27" w:rsidRPr="007D5EDD" w:rsidRDefault="00D04171" w:rsidP="00BE3BD9">
            <w:pPr>
              <w:pStyle w:val="ListParagraph"/>
              <w:numPr>
                <w:ilvl w:val="0"/>
                <w:numId w:val="8"/>
              </w:numPr>
              <w:overflowPunct/>
              <w:autoSpaceDE/>
              <w:autoSpaceDN/>
              <w:adjustRightInd/>
              <w:spacing w:after="0"/>
              <w:jc w:val="both"/>
              <w:textAlignment w:val="auto"/>
              <w:rPr>
                <w:rFonts w:cs="Times"/>
              </w:rPr>
            </w:pPr>
            <w:r w:rsidRPr="00D04171">
              <w:rPr>
                <w:rFonts w:cs="Times"/>
              </w:rPr>
              <w:t>This agreement does not revert any existing RAN1 agreement</w:t>
            </w:r>
          </w:p>
        </w:tc>
      </w:tr>
    </w:tbl>
    <w:p w14:paraId="48EACC44" w14:textId="77777777" w:rsidR="00347C4D" w:rsidRDefault="00347C4D" w:rsidP="00347C4D">
      <w:pPr>
        <w:spacing w:after="120"/>
      </w:pPr>
    </w:p>
    <w:p w14:paraId="1F54742E" w14:textId="38454131" w:rsidR="00DE431A" w:rsidRDefault="002F3F68" w:rsidP="00347C4D">
      <w:pPr>
        <w:rPr>
          <w:lang w:val="en-US"/>
        </w:rPr>
      </w:pPr>
      <w:r>
        <w:rPr>
          <w:lang w:val="en-US"/>
        </w:rPr>
        <w:t xml:space="preserve">In </w:t>
      </w:r>
      <w:r w:rsidR="005B34E8">
        <w:rPr>
          <w:lang w:val="en-US"/>
        </w:rPr>
        <w:t xml:space="preserve">last </w:t>
      </w:r>
      <w:r>
        <w:rPr>
          <w:lang w:val="en-US"/>
        </w:rPr>
        <w:t>RAN1-10</w:t>
      </w:r>
      <w:r w:rsidR="005B34E8">
        <w:rPr>
          <w:lang w:val="en-US"/>
        </w:rPr>
        <w:t>6</w:t>
      </w:r>
      <w:r>
        <w:rPr>
          <w:lang w:val="en-US"/>
        </w:rPr>
        <w:t>e</w:t>
      </w:r>
      <w:r w:rsidR="00E94652">
        <w:rPr>
          <w:lang w:val="en-US"/>
        </w:rPr>
        <w:t xml:space="preserve"> meeting</w:t>
      </w:r>
      <w:r>
        <w:rPr>
          <w:lang w:val="en-US"/>
        </w:rPr>
        <w:t xml:space="preserve">, it </w:t>
      </w:r>
      <w:r w:rsidR="00DF1FA8">
        <w:rPr>
          <w:lang w:val="en-US"/>
        </w:rPr>
        <w:t>has been</w:t>
      </w:r>
      <w:r>
        <w:rPr>
          <w:lang w:val="en-US"/>
        </w:rPr>
        <w:t xml:space="preserve"> agreed </w:t>
      </w:r>
      <w:r w:rsidR="00CC7156">
        <w:rPr>
          <w:lang w:val="en-US"/>
        </w:rPr>
        <w:t>that the</w:t>
      </w:r>
      <w:r w:rsidR="00B63E4A">
        <w:rPr>
          <w:lang w:val="en-US"/>
        </w:rPr>
        <w:t xml:space="preserve"> </w:t>
      </w:r>
      <w:r w:rsidR="00CC7156">
        <w:rPr>
          <w:lang w:val="en-US"/>
        </w:rPr>
        <w:t xml:space="preserve">frequency-domain </w:t>
      </w:r>
      <w:r w:rsidR="005B34E8">
        <w:rPr>
          <w:lang w:val="en-US"/>
        </w:rPr>
        <w:t>H/S/NA</w:t>
      </w:r>
      <w:r w:rsidR="004E3F88">
        <w:rPr>
          <w:lang w:val="en-US"/>
        </w:rPr>
        <w:t xml:space="preserve"> </w:t>
      </w:r>
      <w:r w:rsidR="00B63E4A">
        <w:rPr>
          <w:lang w:val="en-US"/>
        </w:rPr>
        <w:t>resource type</w:t>
      </w:r>
      <w:r w:rsidR="004E3F88">
        <w:rPr>
          <w:lang w:val="en-US"/>
        </w:rPr>
        <w:t xml:space="preserve"> </w:t>
      </w:r>
      <w:r w:rsidR="005B34E8">
        <w:rPr>
          <w:lang w:val="en-US"/>
        </w:rPr>
        <w:t>is provided per RB set, per D/U/F resource type within a slot.</w:t>
      </w:r>
      <w:r w:rsidR="00E94652">
        <w:rPr>
          <w:lang w:val="en-US"/>
        </w:rPr>
        <w:t xml:space="preserve"> But there are </w:t>
      </w:r>
      <w:r w:rsidR="001D12FD">
        <w:rPr>
          <w:lang w:val="en-US"/>
        </w:rPr>
        <w:t>diverse</w:t>
      </w:r>
      <w:r w:rsidR="00E94652">
        <w:rPr>
          <w:lang w:val="en-US"/>
        </w:rPr>
        <w:t xml:space="preserve"> views from </w:t>
      </w:r>
      <w:r w:rsidR="001D12FD">
        <w:rPr>
          <w:lang w:val="en-US"/>
        </w:rPr>
        <w:t xml:space="preserve">different companies on whether </w:t>
      </w:r>
      <w:r w:rsidR="00870D18">
        <w:rPr>
          <w:lang w:val="en-US"/>
        </w:rPr>
        <w:t xml:space="preserve">to support time-varying </w:t>
      </w:r>
      <w:r w:rsidR="001D12FD">
        <w:rPr>
          <w:lang w:val="en-US"/>
        </w:rPr>
        <w:t>frequency-domain H/S/</w:t>
      </w:r>
      <w:r w:rsidR="00C426FD">
        <w:rPr>
          <w:lang w:val="en-US"/>
        </w:rPr>
        <w:t xml:space="preserve">NA </w:t>
      </w:r>
      <w:r w:rsidR="00A7083F">
        <w:rPr>
          <w:lang w:val="en-US"/>
        </w:rPr>
        <w:t xml:space="preserve">patterns </w:t>
      </w:r>
      <w:r w:rsidR="00870D18">
        <w:rPr>
          <w:lang w:val="en-US"/>
        </w:rPr>
        <w:t xml:space="preserve">over a number of slots in the Rel-17 </w:t>
      </w:r>
      <w:r w:rsidR="009B3E94">
        <w:rPr>
          <w:lang w:val="en-US"/>
        </w:rPr>
        <w:t xml:space="preserve">frequency-domain </w:t>
      </w:r>
      <w:r w:rsidR="00870D18">
        <w:rPr>
          <w:lang w:val="en-US"/>
        </w:rPr>
        <w:t xml:space="preserve">configuration. </w:t>
      </w:r>
      <w:r w:rsidR="00F95577">
        <w:rPr>
          <w:lang w:val="en-US"/>
        </w:rPr>
        <w:t>We can see that t</w:t>
      </w:r>
      <w:r w:rsidR="000601C8">
        <w:rPr>
          <w:lang w:val="en-US"/>
        </w:rPr>
        <w:t xml:space="preserve">here are many benefits to </w:t>
      </w:r>
      <w:r w:rsidR="00E36B9A">
        <w:rPr>
          <w:lang w:val="en-US"/>
        </w:rPr>
        <w:t>support</w:t>
      </w:r>
      <w:r w:rsidR="000601C8">
        <w:rPr>
          <w:lang w:val="en-US"/>
        </w:rPr>
        <w:t xml:space="preserve"> </w:t>
      </w:r>
      <w:r w:rsidR="00D24892">
        <w:rPr>
          <w:lang w:val="en-US"/>
        </w:rPr>
        <w:t>this configuration flexibility</w:t>
      </w:r>
      <w:r w:rsidR="00DE431A">
        <w:rPr>
          <w:lang w:val="en-US"/>
        </w:rPr>
        <w:t>:</w:t>
      </w:r>
      <w:r w:rsidR="00055FA1">
        <w:rPr>
          <w:lang w:val="en-US"/>
        </w:rPr>
        <w:t xml:space="preserve"> </w:t>
      </w:r>
    </w:p>
    <w:p w14:paraId="100CDF5C" w14:textId="563BCAEF" w:rsidR="00DE431A" w:rsidRDefault="007B6BE7" w:rsidP="00BE3BD9">
      <w:pPr>
        <w:pStyle w:val="ListParagraph"/>
        <w:numPr>
          <w:ilvl w:val="0"/>
          <w:numId w:val="11"/>
        </w:numPr>
        <w:rPr>
          <w:lang w:val="en-US"/>
        </w:rPr>
      </w:pPr>
      <w:r w:rsidRPr="00DE431A">
        <w:rPr>
          <w:lang w:val="en-US"/>
        </w:rPr>
        <w:t>to provide frequency-domain diversity</w:t>
      </w:r>
      <w:r w:rsidR="004F1C2C" w:rsidRPr="00DE431A">
        <w:rPr>
          <w:lang w:val="en-US"/>
        </w:rPr>
        <w:t xml:space="preserve"> by </w:t>
      </w:r>
      <w:r w:rsidR="002A3133" w:rsidRPr="00DE431A">
        <w:rPr>
          <w:lang w:val="en-US"/>
        </w:rPr>
        <w:t>distributing the Hard</w:t>
      </w:r>
      <w:r w:rsidR="00D64EAF" w:rsidRPr="00DE431A">
        <w:rPr>
          <w:lang w:val="en-US"/>
        </w:rPr>
        <w:t xml:space="preserve">/Soft RB sets over the entire CC on different slots </w:t>
      </w:r>
      <w:r w:rsidR="007675BE" w:rsidRPr="00DE431A">
        <w:rPr>
          <w:lang w:val="en-US"/>
        </w:rPr>
        <w:t>while doing FDM</w:t>
      </w:r>
      <w:r w:rsidR="006541C7" w:rsidRPr="00DE431A">
        <w:rPr>
          <w:lang w:val="en-US"/>
        </w:rPr>
        <w:t xml:space="preserve"> multiplexing</w:t>
      </w:r>
      <w:r w:rsidR="002E2670">
        <w:rPr>
          <w:lang w:val="en-US"/>
        </w:rPr>
        <w:t xml:space="preserve"> with parent node</w:t>
      </w:r>
      <w:r w:rsidR="00555B73">
        <w:rPr>
          <w:lang w:val="en-US"/>
        </w:rPr>
        <w:t>.</w:t>
      </w:r>
      <w:r w:rsidRPr="00DE431A">
        <w:rPr>
          <w:lang w:val="en-US"/>
        </w:rPr>
        <w:t xml:space="preserve"> </w:t>
      </w:r>
    </w:p>
    <w:p w14:paraId="03082736" w14:textId="5322AC20" w:rsidR="00E31CAF" w:rsidRDefault="007B6BE7" w:rsidP="00BE3BD9">
      <w:pPr>
        <w:pStyle w:val="ListParagraph"/>
        <w:numPr>
          <w:ilvl w:val="0"/>
          <w:numId w:val="11"/>
        </w:numPr>
        <w:rPr>
          <w:lang w:val="en-US"/>
        </w:rPr>
      </w:pPr>
      <w:r w:rsidRPr="00DE431A">
        <w:rPr>
          <w:lang w:val="en-US"/>
        </w:rPr>
        <w:t xml:space="preserve">to allow for more </w:t>
      </w:r>
      <w:r w:rsidR="004B1C06" w:rsidRPr="00DE431A">
        <w:rPr>
          <w:lang w:val="en-US"/>
        </w:rPr>
        <w:t>flexible scheduling</w:t>
      </w:r>
      <w:r w:rsidR="00555B73">
        <w:rPr>
          <w:lang w:val="en-US"/>
        </w:rPr>
        <w:t>.</w:t>
      </w:r>
      <w:r w:rsidR="004B1C06" w:rsidRPr="00DE431A">
        <w:rPr>
          <w:lang w:val="en-US"/>
        </w:rPr>
        <w:t xml:space="preserve"> </w:t>
      </w:r>
    </w:p>
    <w:p w14:paraId="54A8B48C" w14:textId="77777777" w:rsidR="00836DF1" w:rsidRDefault="00E177C4" w:rsidP="00BE3BD9">
      <w:pPr>
        <w:pStyle w:val="ListParagraph"/>
        <w:numPr>
          <w:ilvl w:val="0"/>
          <w:numId w:val="11"/>
        </w:numPr>
        <w:rPr>
          <w:lang w:val="en-US"/>
        </w:rPr>
      </w:pPr>
      <w:r w:rsidRPr="00DE431A">
        <w:rPr>
          <w:lang w:val="en-US"/>
        </w:rPr>
        <w:t>to achieve low latency</w:t>
      </w:r>
      <w:r w:rsidR="00E31CAF">
        <w:rPr>
          <w:lang w:val="en-US"/>
        </w:rPr>
        <w:t>, e.g.</w:t>
      </w:r>
      <w:r w:rsidR="007B6BE7" w:rsidRPr="00DE431A">
        <w:rPr>
          <w:lang w:val="en-US"/>
        </w:rPr>
        <w:t xml:space="preserve"> </w:t>
      </w:r>
      <w:r w:rsidR="00086644" w:rsidRPr="00DE431A">
        <w:rPr>
          <w:lang w:val="en-US"/>
        </w:rPr>
        <w:t xml:space="preserve">by configuring at least </w:t>
      </w:r>
      <w:r w:rsidR="00986EB5">
        <w:rPr>
          <w:lang w:val="en-US"/>
        </w:rPr>
        <w:t>one</w:t>
      </w:r>
      <w:r w:rsidR="00086644" w:rsidRPr="00DE431A">
        <w:rPr>
          <w:lang w:val="en-US"/>
        </w:rPr>
        <w:t xml:space="preserve"> </w:t>
      </w:r>
      <w:r w:rsidR="00E31CAF">
        <w:rPr>
          <w:lang w:val="en-US"/>
        </w:rPr>
        <w:t xml:space="preserve">Hard </w:t>
      </w:r>
      <w:r w:rsidR="00086644" w:rsidRPr="00DE431A">
        <w:rPr>
          <w:lang w:val="en-US"/>
        </w:rPr>
        <w:t xml:space="preserve">RB set </w:t>
      </w:r>
      <w:r w:rsidR="00986EB5">
        <w:rPr>
          <w:lang w:val="en-US"/>
        </w:rPr>
        <w:t xml:space="preserve">at every or most of slots to </w:t>
      </w:r>
      <w:r w:rsidR="00FE547F">
        <w:rPr>
          <w:lang w:val="en-US"/>
        </w:rPr>
        <w:t>provide transmission opportunity for</w:t>
      </w:r>
      <w:r w:rsidR="00D579D7">
        <w:rPr>
          <w:lang w:val="en-US"/>
        </w:rPr>
        <w:t xml:space="preserve"> low-latency traffic and </w:t>
      </w:r>
      <w:r w:rsidR="00996699">
        <w:rPr>
          <w:lang w:val="en-US"/>
        </w:rPr>
        <w:t xml:space="preserve">configuring more Hard RB sets at </w:t>
      </w:r>
      <w:r w:rsidR="006C122F">
        <w:rPr>
          <w:lang w:val="en-US"/>
        </w:rPr>
        <w:t xml:space="preserve">selected slots </w:t>
      </w:r>
      <w:r w:rsidR="00D01204">
        <w:rPr>
          <w:lang w:val="en-US"/>
        </w:rPr>
        <w:t xml:space="preserve">to </w:t>
      </w:r>
      <w:r w:rsidR="00924FD3">
        <w:rPr>
          <w:lang w:val="en-US"/>
        </w:rPr>
        <w:t xml:space="preserve">balancing channel usage </w:t>
      </w:r>
      <w:r w:rsidR="00D8480A">
        <w:rPr>
          <w:lang w:val="en-US"/>
        </w:rPr>
        <w:t>with parent node</w:t>
      </w:r>
      <w:r w:rsidR="009C05A1">
        <w:rPr>
          <w:lang w:val="en-US"/>
        </w:rPr>
        <w:t xml:space="preserve"> </w:t>
      </w:r>
      <w:r w:rsidR="00D01204">
        <w:rPr>
          <w:lang w:val="en-US"/>
        </w:rPr>
        <w:t>for best effort traffic.</w:t>
      </w:r>
    </w:p>
    <w:p w14:paraId="6F05C0F2" w14:textId="77777777" w:rsidR="00DB18C4" w:rsidRDefault="00242C7E" w:rsidP="00836DF1">
      <w:pPr>
        <w:rPr>
          <w:lang w:val="en-US"/>
        </w:rPr>
      </w:pPr>
      <w:r>
        <w:rPr>
          <w:lang w:val="en-US"/>
        </w:rPr>
        <w:t xml:space="preserve">Based on above observations, we propose to support </w:t>
      </w:r>
      <w:r w:rsidR="00DB18C4">
        <w:rPr>
          <w:lang w:val="en-US"/>
        </w:rPr>
        <w:t>Rel-17 frequency-domain H/S/NA configuration with time-domain component.</w:t>
      </w:r>
    </w:p>
    <w:p w14:paraId="3D688688" w14:textId="77777777" w:rsidR="005A4718" w:rsidRDefault="005A4718" w:rsidP="00836DF1">
      <w:pPr>
        <w:rPr>
          <w:b/>
          <w:bCs/>
          <w:u w:val="single"/>
          <w:lang w:eastAsia="zh-CN"/>
        </w:rPr>
      </w:pPr>
      <w:r>
        <w:rPr>
          <w:b/>
          <w:bCs/>
          <w:u w:val="single"/>
          <w:lang w:eastAsia="zh-CN"/>
        </w:rPr>
        <w:t>Proposal 2.1</w:t>
      </w:r>
      <w:r w:rsidRPr="00D24022">
        <w:rPr>
          <w:b/>
          <w:bCs/>
          <w:u w:val="single"/>
          <w:lang w:eastAsia="zh-CN"/>
        </w:rPr>
        <w:t>:</w:t>
      </w:r>
    </w:p>
    <w:p w14:paraId="07DB5A10" w14:textId="79CF9FB2" w:rsidR="005B34E8" w:rsidRPr="005A4718" w:rsidRDefault="005A4718" w:rsidP="00836DF1">
      <w:pPr>
        <w:rPr>
          <w:lang w:val="en-US"/>
        </w:rPr>
      </w:pPr>
      <w:r w:rsidRPr="005A4718">
        <w:rPr>
          <w:b/>
          <w:bCs/>
          <w:lang w:eastAsia="zh-CN"/>
        </w:rPr>
        <w:t>Support</w:t>
      </w:r>
      <w:r w:rsidR="00CB54A4">
        <w:rPr>
          <w:b/>
          <w:bCs/>
          <w:lang w:val="en-US"/>
        </w:rPr>
        <w:t xml:space="preserve"> </w:t>
      </w:r>
      <w:r w:rsidR="004F1B77">
        <w:rPr>
          <w:b/>
          <w:bCs/>
          <w:lang w:val="en-US"/>
        </w:rPr>
        <w:t xml:space="preserve">Rel-17 frequency-domain H/S/NA configuration to provide </w:t>
      </w:r>
      <w:r w:rsidR="00CB54A4">
        <w:rPr>
          <w:b/>
          <w:bCs/>
          <w:lang w:val="en-US"/>
        </w:rPr>
        <w:t>time-varying frequency-domain H/S/NA</w:t>
      </w:r>
      <w:r w:rsidR="004F1B77">
        <w:rPr>
          <w:b/>
          <w:bCs/>
          <w:lang w:val="en-US"/>
        </w:rPr>
        <w:t xml:space="preserve"> pattern over a number of slots. </w:t>
      </w:r>
      <w:r w:rsidR="00CB54A4">
        <w:rPr>
          <w:b/>
          <w:bCs/>
          <w:lang w:val="en-US"/>
        </w:rPr>
        <w:t xml:space="preserve"> </w:t>
      </w:r>
      <w:r w:rsidR="00DB18C4" w:rsidRPr="005A4718">
        <w:rPr>
          <w:lang w:val="en-US"/>
        </w:rPr>
        <w:t xml:space="preserve"> </w:t>
      </w:r>
      <w:r w:rsidR="00D01204" w:rsidRPr="005A4718">
        <w:rPr>
          <w:lang w:val="en-US"/>
        </w:rPr>
        <w:t xml:space="preserve"> </w:t>
      </w:r>
      <w:r w:rsidR="006C122F" w:rsidRPr="005A4718">
        <w:rPr>
          <w:lang w:val="en-US"/>
        </w:rPr>
        <w:t xml:space="preserve"> </w:t>
      </w:r>
      <w:r w:rsidR="00D579D7" w:rsidRPr="005A4718">
        <w:rPr>
          <w:lang w:val="en-US"/>
        </w:rPr>
        <w:t xml:space="preserve"> </w:t>
      </w:r>
      <w:r w:rsidR="00986EB5" w:rsidRPr="005A4718">
        <w:rPr>
          <w:lang w:val="en-US"/>
        </w:rPr>
        <w:t xml:space="preserve"> </w:t>
      </w:r>
      <w:r w:rsidR="00D24892" w:rsidRPr="005A4718">
        <w:rPr>
          <w:lang w:val="en-US"/>
        </w:rPr>
        <w:t xml:space="preserve"> </w:t>
      </w:r>
      <w:r w:rsidR="008D643E" w:rsidRPr="005A4718">
        <w:rPr>
          <w:lang w:val="en-US"/>
        </w:rPr>
        <w:t xml:space="preserve"> </w:t>
      </w:r>
      <w:r w:rsidR="00AA0E7B" w:rsidRPr="005A4718">
        <w:rPr>
          <w:lang w:val="en-US"/>
        </w:rPr>
        <w:t xml:space="preserve">  </w:t>
      </w:r>
    </w:p>
    <w:p w14:paraId="64F1920C" w14:textId="7E9A756F" w:rsidR="00C61CB9" w:rsidRDefault="0083167C" w:rsidP="00347C4D">
      <w:pPr>
        <w:rPr>
          <w:lang w:val="en-US"/>
        </w:rPr>
      </w:pPr>
      <w:r>
        <w:rPr>
          <w:lang w:val="en-US"/>
        </w:rPr>
        <w:lastRenderedPageBreak/>
        <w:t>In last RAN1-106e</w:t>
      </w:r>
      <w:r w:rsidR="00D549E3">
        <w:rPr>
          <w:lang w:val="en-US"/>
        </w:rPr>
        <w:t xml:space="preserve"> meeting</w:t>
      </w:r>
      <w:r>
        <w:rPr>
          <w:lang w:val="en-US"/>
        </w:rPr>
        <w:t xml:space="preserve">, there are many discussions </w:t>
      </w:r>
      <w:r w:rsidR="00270B70">
        <w:rPr>
          <w:lang w:val="en-US"/>
        </w:rPr>
        <w:t xml:space="preserve">on </w:t>
      </w:r>
      <w:r w:rsidR="0061508B">
        <w:rPr>
          <w:lang w:val="en-US"/>
        </w:rPr>
        <w:t xml:space="preserve">interaction between </w:t>
      </w:r>
      <w:r w:rsidR="00FB190D">
        <w:rPr>
          <w:lang w:val="en-US"/>
        </w:rPr>
        <w:t>the Rel-17 frequency-domain H/S/NA</w:t>
      </w:r>
      <w:r w:rsidR="00D549E3">
        <w:rPr>
          <w:lang w:val="en-US"/>
        </w:rPr>
        <w:t xml:space="preserve"> configuration</w:t>
      </w:r>
      <w:r w:rsidR="00FB190D">
        <w:rPr>
          <w:lang w:val="en-US"/>
        </w:rPr>
        <w:t xml:space="preserve"> and the default Rel-16 time-domain configuration </w:t>
      </w:r>
      <w:r w:rsidR="00270B70">
        <w:rPr>
          <w:lang w:val="en-US"/>
        </w:rPr>
        <w:t xml:space="preserve">to obtain </w:t>
      </w:r>
      <w:r w:rsidR="00550484">
        <w:rPr>
          <w:lang w:val="en-US"/>
        </w:rPr>
        <w:t xml:space="preserve">the </w:t>
      </w:r>
      <w:r w:rsidR="00270B70">
        <w:rPr>
          <w:lang w:val="en-US"/>
        </w:rPr>
        <w:t>full</w:t>
      </w:r>
      <w:r w:rsidR="007A3522">
        <w:rPr>
          <w:lang w:val="en-US"/>
        </w:rPr>
        <w:t xml:space="preserve"> </w:t>
      </w:r>
      <w:r w:rsidR="001D324D">
        <w:rPr>
          <w:lang w:val="en-US"/>
        </w:rPr>
        <w:t xml:space="preserve">H/S/NA </w:t>
      </w:r>
      <w:r w:rsidR="00270B70">
        <w:rPr>
          <w:lang w:val="en-US"/>
        </w:rPr>
        <w:t>configuration in time-frequency grid</w:t>
      </w:r>
      <w:r w:rsidR="00513A19">
        <w:rPr>
          <w:lang w:val="en-US"/>
        </w:rPr>
        <w:t>, which can be summarized by the following two approaches:</w:t>
      </w:r>
    </w:p>
    <w:p w14:paraId="69D84B35" w14:textId="4E3E7C50" w:rsidR="0082790F" w:rsidRDefault="00B0220A" w:rsidP="00BE3BD9">
      <w:pPr>
        <w:pStyle w:val="ListParagraph"/>
        <w:numPr>
          <w:ilvl w:val="0"/>
          <w:numId w:val="12"/>
        </w:numPr>
        <w:rPr>
          <w:lang w:val="en-US"/>
        </w:rPr>
      </w:pPr>
      <w:r w:rsidRPr="00B0220A">
        <w:rPr>
          <w:u w:val="single"/>
          <w:lang w:val="en-US"/>
        </w:rPr>
        <w:t>[</w:t>
      </w:r>
      <w:r>
        <w:rPr>
          <w:u w:val="single"/>
          <w:lang w:val="en-US"/>
        </w:rPr>
        <w:t>S</w:t>
      </w:r>
      <w:r w:rsidR="00254B0B" w:rsidRPr="00B0220A">
        <w:rPr>
          <w:u w:val="single"/>
          <w:lang w:val="en-US"/>
        </w:rPr>
        <w:t>eparate-</w:t>
      </w:r>
      <w:r w:rsidRPr="00B0220A">
        <w:rPr>
          <w:u w:val="single"/>
          <w:lang w:val="en-US"/>
        </w:rPr>
        <w:t>]</w:t>
      </w:r>
      <w:r>
        <w:rPr>
          <w:u w:val="single"/>
          <w:lang w:val="en-US"/>
        </w:rPr>
        <w:t>a</w:t>
      </w:r>
      <w:r w:rsidR="00513A19" w:rsidRPr="00B0220A">
        <w:rPr>
          <w:u w:val="single"/>
          <w:lang w:val="en-US"/>
        </w:rPr>
        <w:t>pproach1</w:t>
      </w:r>
      <w:r w:rsidR="00513A19">
        <w:rPr>
          <w:lang w:val="en-US"/>
        </w:rPr>
        <w:t xml:space="preserve">: </w:t>
      </w:r>
      <w:r w:rsidR="001D324D">
        <w:rPr>
          <w:lang w:val="en-US"/>
        </w:rPr>
        <w:t xml:space="preserve">The Rel-17 </w:t>
      </w:r>
      <w:r w:rsidR="00E44D74">
        <w:rPr>
          <w:lang w:val="en-US"/>
        </w:rPr>
        <w:t xml:space="preserve">frequency-domain </w:t>
      </w:r>
      <w:r w:rsidR="009068E1">
        <w:rPr>
          <w:lang w:val="en-US"/>
        </w:rPr>
        <w:t>configuration itself can provide</w:t>
      </w:r>
      <w:r w:rsidR="00E44D74">
        <w:rPr>
          <w:lang w:val="en-US"/>
        </w:rPr>
        <w:t xml:space="preserve"> H/S/NA pattern in time-frequency grid</w:t>
      </w:r>
      <w:r w:rsidR="0082790F">
        <w:rPr>
          <w:lang w:val="en-US"/>
        </w:rPr>
        <w:t>, and it can override Rel-16 time-domain configuration completely or partially over selected slots and/or RB sets</w:t>
      </w:r>
      <w:r w:rsidR="00123103">
        <w:rPr>
          <w:lang w:val="en-US"/>
        </w:rPr>
        <w:t xml:space="preserve"> to obtain the full </w:t>
      </w:r>
      <w:r w:rsidR="00E706E4">
        <w:rPr>
          <w:lang w:val="en-US"/>
        </w:rPr>
        <w:t>configuration in time-frequency grid</w:t>
      </w:r>
      <w:r w:rsidR="0082790F">
        <w:rPr>
          <w:lang w:val="en-US"/>
        </w:rPr>
        <w:t>.</w:t>
      </w:r>
      <w:r w:rsidR="00946A49">
        <w:rPr>
          <w:lang w:val="en-US"/>
        </w:rPr>
        <w:t xml:space="preserve"> </w:t>
      </w:r>
    </w:p>
    <w:p w14:paraId="7EF29C23" w14:textId="288F6144" w:rsidR="00513A19" w:rsidRPr="00513A19" w:rsidRDefault="00B0220A" w:rsidP="00BE3BD9">
      <w:pPr>
        <w:pStyle w:val="ListParagraph"/>
        <w:numPr>
          <w:ilvl w:val="0"/>
          <w:numId w:val="12"/>
        </w:numPr>
        <w:rPr>
          <w:lang w:val="en-US"/>
        </w:rPr>
      </w:pPr>
      <w:r w:rsidRPr="00B0220A">
        <w:rPr>
          <w:u w:val="single"/>
          <w:lang w:val="en-US"/>
        </w:rPr>
        <w:t>[</w:t>
      </w:r>
      <w:r>
        <w:rPr>
          <w:u w:val="single"/>
          <w:lang w:val="en-US"/>
        </w:rPr>
        <w:t>J</w:t>
      </w:r>
      <w:r w:rsidR="00254B0B" w:rsidRPr="00B0220A">
        <w:rPr>
          <w:u w:val="single"/>
          <w:lang w:val="en-US"/>
        </w:rPr>
        <w:t>oint</w:t>
      </w:r>
      <w:r w:rsidRPr="00B0220A">
        <w:rPr>
          <w:u w:val="single"/>
          <w:lang w:val="en-US"/>
        </w:rPr>
        <w:t>-]a</w:t>
      </w:r>
      <w:r w:rsidR="00611F5C" w:rsidRPr="00B0220A">
        <w:rPr>
          <w:u w:val="single"/>
          <w:lang w:val="en-US"/>
        </w:rPr>
        <w:t>pproach2</w:t>
      </w:r>
      <w:r w:rsidR="00611F5C">
        <w:rPr>
          <w:lang w:val="en-US"/>
        </w:rPr>
        <w:t xml:space="preserve">: The Rel-17 frequency-domain configuration </w:t>
      </w:r>
      <w:r w:rsidR="001C2EA0">
        <w:rPr>
          <w:lang w:val="en-US"/>
        </w:rPr>
        <w:t>is a partial configuration in frequency-domain only</w:t>
      </w:r>
      <w:r w:rsidR="0015309F">
        <w:rPr>
          <w:lang w:val="en-US"/>
        </w:rPr>
        <w:t xml:space="preserve"> within a slot, and the full</w:t>
      </w:r>
      <w:r w:rsidR="00470015">
        <w:rPr>
          <w:lang w:val="en-US"/>
        </w:rPr>
        <w:t xml:space="preserve"> configuration in time-frequency grid</w:t>
      </w:r>
      <w:r w:rsidR="00E77DBC">
        <w:rPr>
          <w:lang w:val="en-US"/>
        </w:rPr>
        <w:t xml:space="preserve"> is obtained by joint application of Rel-17 frequency-domain configuration with Rel-16 time-domain configuration with some </w:t>
      </w:r>
      <w:r w:rsidR="00123103">
        <w:rPr>
          <w:lang w:val="en-US"/>
        </w:rPr>
        <w:t>specified rules.</w:t>
      </w:r>
      <w:r w:rsidR="00470015">
        <w:rPr>
          <w:lang w:val="en-US"/>
        </w:rPr>
        <w:t xml:space="preserve"> </w:t>
      </w:r>
      <w:r w:rsidR="001C2EA0">
        <w:rPr>
          <w:lang w:val="en-US"/>
        </w:rPr>
        <w:t xml:space="preserve"> </w:t>
      </w:r>
      <w:r w:rsidR="00E44D74">
        <w:rPr>
          <w:lang w:val="en-US"/>
        </w:rPr>
        <w:t xml:space="preserve"> </w:t>
      </w:r>
      <w:r w:rsidR="009068E1">
        <w:rPr>
          <w:lang w:val="en-US"/>
        </w:rPr>
        <w:t xml:space="preserve"> </w:t>
      </w:r>
    </w:p>
    <w:p w14:paraId="20EF4A9C" w14:textId="6A473C65" w:rsidR="00347C4D" w:rsidRPr="00367E31" w:rsidRDefault="00984F2B" w:rsidP="00BC27F4">
      <w:pPr>
        <w:rPr>
          <w:lang w:val="en-US"/>
        </w:rPr>
      </w:pPr>
      <w:r>
        <w:rPr>
          <w:lang w:val="en-US"/>
        </w:rPr>
        <w:t xml:space="preserve">It can be seen that </w:t>
      </w:r>
      <w:r w:rsidR="00F82099" w:rsidRPr="00F82099">
        <w:rPr>
          <w:u w:val="single"/>
          <w:lang w:val="en-US"/>
        </w:rPr>
        <w:t>[separate-]a</w:t>
      </w:r>
      <w:r w:rsidRPr="00F82099">
        <w:rPr>
          <w:u w:val="single"/>
          <w:lang w:val="en-US"/>
        </w:rPr>
        <w:t>pproach1</w:t>
      </w:r>
      <w:r>
        <w:rPr>
          <w:lang w:val="en-US"/>
        </w:rPr>
        <w:t xml:space="preserve"> is more flexible in terms of </w:t>
      </w:r>
      <w:r w:rsidR="005B37DC">
        <w:rPr>
          <w:lang w:val="en-US"/>
        </w:rPr>
        <w:t xml:space="preserve">configuring H/S/NA resource pattern in time-frequency grid than </w:t>
      </w:r>
      <w:r w:rsidR="004778A3" w:rsidRPr="004778A3">
        <w:rPr>
          <w:u w:val="single"/>
          <w:lang w:val="en-US"/>
        </w:rPr>
        <w:t>[joint-]</w:t>
      </w:r>
      <w:r w:rsidR="005B37DC" w:rsidRPr="004778A3">
        <w:rPr>
          <w:u w:val="single"/>
          <w:lang w:val="en-US"/>
        </w:rPr>
        <w:t>Approach2</w:t>
      </w:r>
      <w:r w:rsidR="005B37DC">
        <w:rPr>
          <w:lang w:val="en-US"/>
        </w:rPr>
        <w:t>, and at the same time</w:t>
      </w:r>
      <w:r w:rsidR="000A64A2">
        <w:rPr>
          <w:lang w:val="en-US"/>
        </w:rPr>
        <w:t xml:space="preserve"> </w:t>
      </w:r>
      <w:r w:rsidR="0019306A">
        <w:rPr>
          <w:lang w:val="en-US"/>
        </w:rPr>
        <w:t>it</w:t>
      </w:r>
      <w:r w:rsidR="000A64A2">
        <w:rPr>
          <w:lang w:val="en-US"/>
        </w:rPr>
        <w:t xml:space="preserve"> </w:t>
      </w:r>
      <w:r w:rsidR="002E07C2">
        <w:rPr>
          <w:lang w:val="en-US"/>
        </w:rPr>
        <w:t xml:space="preserve">can also save signaling overhead by making use of Rel-16 time-domain configuration at slots intended for TDM operation. </w:t>
      </w:r>
      <w:r w:rsidR="0019306A">
        <w:rPr>
          <w:lang w:val="en-US"/>
        </w:rPr>
        <w:t>In addition, for [joint-]approach2, extra effort is required to define the rules</w:t>
      </w:r>
      <w:r w:rsidR="00404A7B">
        <w:rPr>
          <w:lang w:val="en-US"/>
        </w:rPr>
        <w:t xml:space="preserve"> in spec</w:t>
      </w:r>
      <w:r w:rsidR="0019306A">
        <w:rPr>
          <w:lang w:val="en-US"/>
        </w:rPr>
        <w:t xml:space="preserve">. </w:t>
      </w:r>
      <w:r w:rsidR="002E07C2">
        <w:rPr>
          <w:lang w:val="en-US"/>
        </w:rPr>
        <w:t>Therefore, we propose to support [separate-]approach1</w:t>
      </w:r>
      <w:r w:rsidR="0019306A">
        <w:rPr>
          <w:lang w:val="en-US"/>
        </w:rPr>
        <w:t>. Regarding on the</w:t>
      </w:r>
      <w:r w:rsidR="0018524C">
        <w:rPr>
          <w:lang w:val="en-US"/>
        </w:rPr>
        <w:t xml:space="preserve"> signaling details on defining</w:t>
      </w:r>
      <w:r w:rsidR="0019306A">
        <w:rPr>
          <w:lang w:val="en-US"/>
        </w:rPr>
        <w:t xml:space="preserve"> Rel-17 frequency-domain configuration</w:t>
      </w:r>
      <w:r w:rsidR="003D2FAB">
        <w:rPr>
          <w:lang w:val="en-US"/>
        </w:rPr>
        <w:t xml:space="preserve">, </w:t>
      </w:r>
      <w:r w:rsidR="00410D0B">
        <w:rPr>
          <w:lang w:val="en-US"/>
        </w:rPr>
        <w:t>we propose to reuse the Rel-16 signaling format as much as possible.</w:t>
      </w:r>
      <w:r w:rsidR="0019306A">
        <w:rPr>
          <w:lang w:val="en-US"/>
        </w:rPr>
        <w:t xml:space="preserve"> </w:t>
      </w:r>
      <w:r w:rsidR="00123B11">
        <w:rPr>
          <w:lang w:val="en-US"/>
        </w:rPr>
        <w:t xml:space="preserve">In Rel-16, the H/S/NA resource pattern is configured for a DU cell via </w:t>
      </w:r>
      <w:r w:rsidR="00123B11" w:rsidRPr="00252D9F">
        <w:rPr>
          <w:i/>
          <w:iCs/>
          <w:lang w:val="en-US"/>
        </w:rPr>
        <w:t>gNB-DU cell resource configuration IE</w:t>
      </w:r>
      <w:r w:rsidR="00123B11">
        <w:rPr>
          <w:lang w:val="en-US"/>
        </w:rPr>
        <w:t xml:space="preserve"> defined in TS38.473[3], where at most 1 configuration item for H/S/NA pattern is included in a configuration list. It can be seen that this IE can be easily extended to support FDM within a CC by extending the configuration list to multiple configuration items, with each item associated with one RB set as shown in Fig.1.</w:t>
      </w:r>
      <w:r w:rsidR="00CD77D9">
        <w:rPr>
          <w:lang w:val="en-US"/>
        </w:rPr>
        <w:t xml:space="preserve"> </w:t>
      </w:r>
      <w:r w:rsidR="00731ACB">
        <w:rPr>
          <w:lang w:val="en-US"/>
        </w:rPr>
        <w:t>In order t</w:t>
      </w:r>
      <w:r w:rsidR="00CD77D9">
        <w:rPr>
          <w:lang w:val="en-US"/>
        </w:rPr>
        <w:t xml:space="preserve">o </w:t>
      </w:r>
      <w:r w:rsidR="00731ACB">
        <w:rPr>
          <w:lang w:val="en-US"/>
        </w:rPr>
        <w:t>support</w:t>
      </w:r>
      <w:r w:rsidR="00CD77D9">
        <w:rPr>
          <w:lang w:val="en-US"/>
        </w:rPr>
        <w:t xml:space="preserve"> the </w:t>
      </w:r>
      <w:r w:rsidR="00F611E1">
        <w:rPr>
          <w:lang w:val="en-US"/>
        </w:rPr>
        <w:t xml:space="preserve">configuration </w:t>
      </w:r>
      <w:r w:rsidR="001155DC">
        <w:rPr>
          <w:lang w:val="en-US"/>
        </w:rPr>
        <w:t xml:space="preserve">flexibility </w:t>
      </w:r>
      <w:r w:rsidR="00F611E1">
        <w:rPr>
          <w:lang w:val="en-US"/>
        </w:rPr>
        <w:t>to override Rel-16 time-domain configuration completely or partially</w:t>
      </w:r>
      <w:r w:rsidR="00731ACB">
        <w:rPr>
          <w:lang w:val="en-US"/>
        </w:rPr>
        <w:t xml:space="preserve">, </w:t>
      </w:r>
      <w:r w:rsidR="00F61CAF">
        <w:rPr>
          <w:lang w:val="en-US"/>
        </w:rPr>
        <w:t xml:space="preserve">we </w:t>
      </w:r>
      <w:r w:rsidR="008251B1">
        <w:rPr>
          <w:lang w:val="en-US"/>
        </w:rPr>
        <w:t>propose to support the optional fields of RB set index and slot index in the Rel-17 configuration</w:t>
      </w:r>
      <w:r w:rsidR="00414342">
        <w:rPr>
          <w:lang w:val="en-US"/>
        </w:rPr>
        <w:t xml:space="preserve">. If </w:t>
      </w:r>
      <w:r w:rsidR="006E0FEA">
        <w:rPr>
          <w:lang w:val="en-US"/>
        </w:rPr>
        <w:t xml:space="preserve">these fields are not provided, </w:t>
      </w:r>
      <w:r w:rsidR="00591F88">
        <w:rPr>
          <w:lang w:val="en-US"/>
        </w:rPr>
        <w:t xml:space="preserve">configuration for </w:t>
      </w:r>
      <w:r w:rsidR="006E0FEA">
        <w:rPr>
          <w:lang w:val="en-US"/>
        </w:rPr>
        <w:t>all RB sets and</w:t>
      </w:r>
      <w:r w:rsidR="00591F88">
        <w:rPr>
          <w:lang w:val="en-US"/>
        </w:rPr>
        <w:t>/or</w:t>
      </w:r>
      <w:r w:rsidR="006E0FEA">
        <w:rPr>
          <w:lang w:val="en-US"/>
        </w:rPr>
        <w:t xml:space="preserve"> all slots within the transmission periodicity</w:t>
      </w:r>
      <w:r w:rsidR="00591F88">
        <w:rPr>
          <w:lang w:val="en-US"/>
        </w:rPr>
        <w:t xml:space="preserve"> shall be specified.</w:t>
      </w:r>
      <w:r w:rsidR="006E0FEA">
        <w:rPr>
          <w:lang w:val="en-US"/>
        </w:rPr>
        <w:t xml:space="preserve"> </w:t>
      </w:r>
      <w:r w:rsidR="00633008">
        <w:rPr>
          <w:lang w:val="en-US"/>
        </w:rPr>
        <w:t xml:space="preserve"> </w:t>
      </w:r>
      <w:r w:rsidR="006E0FEA">
        <w:rPr>
          <w:lang w:val="en-US"/>
        </w:rPr>
        <w:t xml:space="preserve"> </w:t>
      </w:r>
      <w:r w:rsidR="008251B1">
        <w:rPr>
          <w:lang w:val="en-US"/>
        </w:rPr>
        <w:t xml:space="preserve">  </w:t>
      </w:r>
      <w:r w:rsidR="00F611E1">
        <w:rPr>
          <w:lang w:val="en-US"/>
        </w:rPr>
        <w:t xml:space="preserve"> </w:t>
      </w:r>
      <w:r w:rsidR="001155DC">
        <w:rPr>
          <w:lang w:val="en-US"/>
        </w:rPr>
        <w:t xml:space="preserve"> </w:t>
      </w:r>
    </w:p>
    <w:p w14:paraId="170E0E6D" w14:textId="03385A65" w:rsidR="00347C4D" w:rsidRDefault="00690F4F" w:rsidP="00347C4D">
      <w:pPr>
        <w:jc w:val="center"/>
      </w:pPr>
      <w:r>
        <w:rPr>
          <w:noProof/>
        </w:rPr>
        <w:drawing>
          <wp:inline distT="0" distB="0" distL="0" distR="0" wp14:anchorId="62F1C18E" wp14:editId="5CA2BAD4">
            <wp:extent cx="6290674" cy="245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94144" cy="2452452"/>
                    </a:xfrm>
                    <a:prstGeom prst="rect">
                      <a:avLst/>
                    </a:prstGeom>
                    <a:noFill/>
                  </pic:spPr>
                </pic:pic>
              </a:graphicData>
            </a:graphic>
          </wp:inline>
        </w:drawing>
      </w:r>
    </w:p>
    <w:p w14:paraId="114C3794" w14:textId="041D4F7D" w:rsidR="00347C4D" w:rsidRPr="00BE6F14" w:rsidRDefault="00347C4D" w:rsidP="00347C4D">
      <w:pPr>
        <w:jc w:val="center"/>
        <w:rPr>
          <w:b/>
          <w:bCs/>
        </w:rPr>
      </w:pPr>
      <w:r w:rsidRPr="00BE6F14">
        <w:rPr>
          <w:b/>
          <w:bCs/>
        </w:rPr>
        <w:t>Fig.</w:t>
      </w:r>
      <w:r w:rsidR="007E424B">
        <w:rPr>
          <w:b/>
          <w:bCs/>
        </w:rPr>
        <w:t>1</w:t>
      </w:r>
      <w:r>
        <w:rPr>
          <w:b/>
          <w:bCs/>
        </w:rPr>
        <w:t xml:space="preserve"> Illustration of </w:t>
      </w:r>
      <w:r w:rsidR="00690F4F">
        <w:rPr>
          <w:b/>
          <w:bCs/>
        </w:rPr>
        <w:t>proposed Rel-17 frequency-domain H/S/NA configuration</w:t>
      </w:r>
      <w:r>
        <w:rPr>
          <w:b/>
          <w:bCs/>
        </w:rPr>
        <w:t xml:space="preserve">  </w:t>
      </w:r>
    </w:p>
    <w:p w14:paraId="011509EF" w14:textId="05C1A2C7" w:rsidR="00367E31" w:rsidRDefault="00367E31" w:rsidP="00367E31">
      <w:pPr>
        <w:rPr>
          <w:b/>
          <w:bCs/>
          <w:u w:val="single"/>
          <w:lang w:eastAsia="zh-CN"/>
        </w:rPr>
      </w:pPr>
      <w:r>
        <w:rPr>
          <w:b/>
          <w:bCs/>
          <w:u w:val="single"/>
          <w:lang w:eastAsia="zh-CN"/>
        </w:rPr>
        <w:t>Proposal 2.</w:t>
      </w:r>
      <w:r w:rsidR="00EB4D3F">
        <w:rPr>
          <w:b/>
          <w:bCs/>
          <w:u w:val="single"/>
          <w:lang w:eastAsia="zh-CN"/>
        </w:rPr>
        <w:t>2</w:t>
      </w:r>
      <w:r w:rsidRPr="00D24022">
        <w:rPr>
          <w:b/>
          <w:bCs/>
          <w:u w:val="single"/>
          <w:lang w:eastAsia="zh-CN"/>
        </w:rPr>
        <w:t>:</w:t>
      </w:r>
    </w:p>
    <w:p w14:paraId="69104A0C" w14:textId="5FD14E24" w:rsidR="00054639" w:rsidRPr="00E6352F" w:rsidRDefault="00367E31" w:rsidP="00E6352F">
      <w:pPr>
        <w:rPr>
          <w:b/>
          <w:bCs/>
          <w:lang w:val="en-US"/>
        </w:rPr>
      </w:pPr>
      <w:r>
        <w:rPr>
          <w:b/>
          <w:bCs/>
          <w:lang w:val="en-US"/>
        </w:rPr>
        <w:t>Support Rel-17 frequency-domain H/S/NA configuration by extending the gNB-DU cell resource configuration IE used by the Rel-16 time-domain configuration to the granularity of an RB set, where selected slots and RB sets can be optionally specified.</w:t>
      </w:r>
    </w:p>
    <w:p w14:paraId="3BA94F52" w14:textId="756846C6" w:rsidR="00EB4D3F" w:rsidRDefault="00095553" w:rsidP="00367E31">
      <w:r w:rsidRPr="00095553">
        <w:rPr>
          <w:lang w:val="en-US"/>
        </w:rPr>
        <w:t>For</w:t>
      </w:r>
      <w:r>
        <w:rPr>
          <w:lang w:val="en-US"/>
        </w:rPr>
        <w:t xml:space="preserve"> configuration of RB sets, in last RAN1-06e meeting, it </w:t>
      </w:r>
      <w:r w:rsidR="00DF1FA8">
        <w:rPr>
          <w:lang w:val="en-US"/>
        </w:rPr>
        <w:t>has been agreed that</w:t>
      </w:r>
      <w:r w:rsidR="007743BE">
        <w:rPr>
          <w:lang w:val="en-US"/>
        </w:rPr>
        <w:t xml:space="preserve"> the size of a</w:t>
      </w:r>
      <w:r w:rsidR="00B53F3F">
        <w:rPr>
          <w:lang w:val="en-US"/>
        </w:rPr>
        <w:t>n</w:t>
      </w:r>
      <w:r w:rsidR="007743BE">
        <w:rPr>
          <w:lang w:val="en-US"/>
        </w:rPr>
        <w:t xml:space="preserve"> RB set </w:t>
      </w:r>
      <w:r w:rsidR="004B1976">
        <w:rPr>
          <w:lang w:val="en-US"/>
        </w:rPr>
        <w:t>shall be</w:t>
      </w:r>
      <w:r w:rsidR="007743BE">
        <w:rPr>
          <w:lang w:val="en-US"/>
        </w:rPr>
        <w:t xml:space="preserve"> selected from the candidate values of {</w:t>
      </w:r>
      <w:r w:rsidR="00B53F3F">
        <w:rPr>
          <w:lang w:val="en-US"/>
        </w:rPr>
        <w:t>2,</w:t>
      </w:r>
      <w:r w:rsidR="00B61384">
        <w:rPr>
          <w:lang w:val="en-US"/>
        </w:rPr>
        <w:t xml:space="preserve"> </w:t>
      </w:r>
      <w:r w:rsidR="00B53F3F">
        <w:rPr>
          <w:lang w:val="en-US"/>
        </w:rPr>
        <w:t>4,</w:t>
      </w:r>
      <w:r w:rsidR="00B61384">
        <w:rPr>
          <w:lang w:val="en-US"/>
        </w:rPr>
        <w:t xml:space="preserve"> </w:t>
      </w:r>
      <w:r w:rsidR="00B53F3F">
        <w:rPr>
          <w:lang w:val="en-US"/>
        </w:rPr>
        <w:t>8,</w:t>
      </w:r>
      <w:r w:rsidR="00B61384">
        <w:rPr>
          <w:lang w:val="en-US"/>
        </w:rPr>
        <w:t xml:space="preserve"> </w:t>
      </w:r>
      <w:r w:rsidR="00B53F3F">
        <w:rPr>
          <w:lang w:val="en-US"/>
        </w:rPr>
        <w:t>16</w:t>
      </w:r>
      <w:r w:rsidR="00B61384">
        <w:rPr>
          <w:lang w:val="en-US"/>
        </w:rPr>
        <w:t>, 32, 64}, which include all candidate values of a RBG {2,4,8,16}</w:t>
      </w:r>
      <w:r w:rsidR="004B1976">
        <w:rPr>
          <w:lang w:val="en-US"/>
        </w:rPr>
        <w:t xml:space="preserve"> and their inte</w:t>
      </w:r>
      <w:r w:rsidR="006B1734">
        <w:rPr>
          <w:lang w:val="en-US"/>
        </w:rPr>
        <w:t xml:space="preserve">ger multiples. </w:t>
      </w:r>
      <w:r w:rsidR="00783C14" w:rsidRPr="00783C14">
        <w:t xml:space="preserve">With </w:t>
      </w:r>
      <w:r w:rsidR="004C0C11">
        <w:t xml:space="preserve">the </w:t>
      </w:r>
      <w:r w:rsidR="00783C14" w:rsidRPr="00783C14">
        <w:t>max RB</w:t>
      </w:r>
      <w:r w:rsidR="004C0C11">
        <w:t xml:space="preserve"> </w:t>
      </w:r>
      <w:r w:rsidR="00783C14" w:rsidRPr="00783C14">
        <w:t>set size N=64, at least 5 RB</w:t>
      </w:r>
      <w:r w:rsidR="004C0C11">
        <w:t xml:space="preserve"> </w:t>
      </w:r>
      <w:r w:rsidR="00783C14" w:rsidRPr="00783C14">
        <w:t>sets are required to cover a max carrier bandwidth</w:t>
      </w:r>
      <w:r w:rsidR="004C0C11">
        <w:t xml:space="preserve"> of</w:t>
      </w:r>
      <w:r w:rsidR="00783C14" w:rsidRPr="00783C14">
        <w:t xml:space="preserve"> (275RBs in FR1, 264RBs in FR2). But in many use cases, it may be sufficient to configure 2 or 3 RB sets to coordinate MT and DU’s resource use</w:t>
      </w:r>
      <w:r w:rsidR="00C21234">
        <w:t xml:space="preserve">. Therefore, we propose to add </w:t>
      </w:r>
      <w:r w:rsidR="00D72A5E">
        <w:t>a few more candidate values for size of a</w:t>
      </w:r>
      <w:r w:rsidR="00EB4D3F">
        <w:t>n</w:t>
      </w:r>
      <w:r w:rsidR="00D72A5E">
        <w:t xml:space="preserve"> RB set</w:t>
      </w:r>
      <w:r w:rsidR="00EB4D3F">
        <w:t xml:space="preserve">. </w:t>
      </w:r>
    </w:p>
    <w:p w14:paraId="3C700767" w14:textId="21D75069" w:rsidR="00EB4D3F" w:rsidRDefault="00EB4D3F" w:rsidP="00EB4D3F">
      <w:pPr>
        <w:rPr>
          <w:b/>
          <w:bCs/>
          <w:u w:val="single"/>
          <w:lang w:eastAsia="zh-CN"/>
        </w:rPr>
      </w:pPr>
      <w:r>
        <w:rPr>
          <w:b/>
          <w:bCs/>
          <w:u w:val="single"/>
          <w:lang w:eastAsia="zh-CN"/>
        </w:rPr>
        <w:t>Proposal 2.3</w:t>
      </w:r>
      <w:r w:rsidRPr="00D24022">
        <w:rPr>
          <w:b/>
          <w:bCs/>
          <w:u w:val="single"/>
          <w:lang w:eastAsia="zh-CN"/>
        </w:rPr>
        <w:t>:</w:t>
      </w:r>
    </w:p>
    <w:p w14:paraId="16507F49" w14:textId="05E2329D" w:rsidR="00D52900" w:rsidRDefault="00343CE3" w:rsidP="007743BE">
      <w:pPr>
        <w:rPr>
          <w:b/>
          <w:bCs/>
        </w:rPr>
      </w:pPr>
      <w:r>
        <w:rPr>
          <w:b/>
          <w:bCs/>
        </w:rPr>
        <w:t>F</w:t>
      </w:r>
      <w:r w:rsidR="007078D1">
        <w:rPr>
          <w:b/>
          <w:bCs/>
        </w:rPr>
        <w:t>or the size of an RB set</w:t>
      </w:r>
      <w:r w:rsidR="00EE3473">
        <w:rPr>
          <w:b/>
          <w:bCs/>
        </w:rPr>
        <w:t xml:space="preserve">, </w:t>
      </w:r>
      <w:r w:rsidR="002D5304">
        <w:rPr>
          <w:b/>
          <w:bCs/>
        </w:rPr>
        <w:t>s</w:t>
      </w:r>
      <w:r>
        <w:rPr>
          <w:b/>
          <w:bCs/>
        </w:rPr>
        <w:t>upport additional candidate values of</w:t>
      </w:r>
      <w:r w:rsidR="009A4855">
        <w:rPr>
          <w:b/>
          <w:bCs/>
        </w:rPr>
        <w:t xml:space="preserve"> {96,128,160}</w:t>
      </w:r>
      <w:r w:rsidR="007078D1">
        <w:rPr>
          <w:b/>
          <w:bCs/>
        </w:rPr>
        <w:t xml:space="preserve"> to the </w:t>
      </w:r>
      <w:r w:rsidR="002D5304">
        <w:rPr>
          <w:b/>
          <w:bCs/>
        </w:rPr>
        <w:t xml:space="preserve">agreed </w:t>
      </w:r>
      <w:r w:rsidR="007078D1">
        <w:rPr>
          <w:b/>
          <w:bCs/>
        </w:rPr>
        <w:t>list</w:t>
      </w:r>
      <w:r>
        <w:rPr>
          <w:b/>
          <w:bCs/>
        </w:rPr>
        <w:t xml:space="preserve"> </w:t>
      </w:r>
      <w:r w:rsidR="002D5304">
        <w:rPr>
          <w:b/>
          <w:bCs/>
        </w:rPr>
        <w:t>of {2,4,8,16,32,64}</w:t>
      </w:r>
      <w:r w:rsidR="00872B54">
        <w:rPr>
          <w:b/>
          <w:bCs/>
        </w:rPr>
        <w:t xml:space="preserve"> so that </w:t>
      </w:r>
      <w:r w:rsidR="00614B8D">
        <w:rPr>
          <w:b/>
          <w:bCs/>
        </w:rPr>
        <w:t xml:space="preserve">it </w:t>
      </w:r>
      <w:r w:rsidR="0081750C">
        <w:rPr>
          <w:b/>
          <w:bCs/>
        </w:rPr>
        <w:t>can be</w:t>
      </w:r>
      <w:r w:rsidR="00614B8D">
        <w:rPr>
          <w:b/>
          <w:bCs/>
        </w:rPr>
        <w:t xml:space="preserve"> sufficient to configure 2 or 3 RB sets</w:t>
      </w:r>
      <w:r w:rsidR="0081750C">
        <w:rPr>
          <w:b/>
          <w:bCs/>
        </w:rPr>
        <w:t xml:space="preserve"> </w:t>
      </w:r>
      <w:r w:rsidR="008E4D5A">
        <w:rPr>
          <w:b/>
          <w:bCs/>
        </w:rPr>
        <w:t>for</w:t>
      </w:r>
      <w:r w:rsidR="0081750C">
        <w:rPr>
          <w:b/>
          <w:bCs/>
        </w:rPr>
        <w:t xml:space="preserve"> a max carrier bandwidth. </w:t>
      </w:r>
    </w:p>
    <w:p w14:paraId="6AE01ADD" w14:textId="2C66F957" w:rsidR="005A3261" w:rsidRDefault="005A3261" w:rsidP="005A3261">
      <w:pPr>
        <w:pStyle w:val="Heading3"/>
        <w:rPr>
          <w:lang w:val="en-US"/>
        </w:rPr>
      </w:pPr>
      <w:r>
        <w:rPr>
          <w:lang w:val="en-US"/>
        </w:rPr>
        <w:lastRenderedPageBreak/>
        <w:t>2.2 Supporting dynamic frequency-domain</w:t>
      </w:r>
      <w:r w:rsidR="004F3E3E">
        <w:rPr>
          <w:lang w:val="en-US"/>
        </w:rPr>
        <w:t xml:space="preserve"> multiplexing with DCI2-5</w:t>
      </w:r>
    </w:p>
    <w:p w14:paraId="51BC6350" w14:textId="6D36D040" w:rsidR="00FE7306" w:rsidRPr="00FE7306" w:rsidRDefault="00FE7306" w:rsidP="007743BE">
      <w:pPr>
        <w:rPr>
          <w:lang w:val="en-US"/>
        </w:rPr>
      </w:pPr>
      <w:r>
        <w:rPr>
          <w:lang w:val="en-US"/>
        </w:rPr>
        <w:t xml:space="preserve">In </w:t>
      </w:r>
      <w:r w:rsidR="002E045A">
        <w:rPr>
          <w:lang w:val="en-US"/>
        </w:rPr>
        <w:t>last RAN1-106e meeting, t</w:t>
      </w:r>
      <w:r w:rsidRPr="00FE7306">
        <w:rPr>
          <w:lang w:val="en-US"/>
        </w:rPr>
        <w:t>he</w:t>
      </w:r>
      <w:r w:rsidR="002E045A">
        <w:rPr>
          <w:lang w:val="en-US"/>
        </w:rPr>
        <w:t xml:space="preserve"> following agreement </w:t>
      </w:r>
      <w:r w:rsidR="00227A9E">
        <w:rPr>
          <w:lang w:val="en-US"/>
        </w:rPr>
        <w:t>has been made for exten</w:t>
      </w:r>
      <w:r w:rsidR="00656B85">
        <w:rPr>
          <w:lang w:val="en-US"/>
        </w:rPr>
        <w:t>sion of DCI2-5 framework to support</w:t>
      </w:r>
      <w:r w:rsidR="000212B9">
        <w:rPr>
          <w:lang w:val="en-US"/>
        </w:rPr>
        <w:t xml:space="preserve"> dynamic</w:t>
      </w:r>
      <w:r w:rsidR="00656B85">
        <w:rPr>
          <w:lang w:val="en-US"/>
        </w:rPr>
        <w:t xml:space="preserve"> frequency-domain </w:t>
      </w:r>
      <w:r w:rsidR="000212B9">
        <w:rPr>
          <w:lang w:val="en-US"/>
        </w:rPr>
        <w:t xml:space="preserve">multiplexing within a CC. </w:t>
      </w:r>
      <w:r w:rsidR="00656B85">
        <w:rPr>
          <w:lang w:val="en-US"/>
        </w:rPr>
        <w:t xml:space="preserve">  </w:t>
      </w:r>
      <w:r w:rsidRPr="00FE7306">
        <w:rPr>
          <w:lang w:val="en-US"/>
        </w:rPr>
        <w:t xml:space="preserve"> </w:t>
      </w:r>
    </w:p>
    <w:tbl>
      <w:tblPr>
        <w:tblStyle w:val="TableGrid"/>
        <w:tblW w:w="0" w:type="auto"/>
        <w:tblLook w:val="04A0" w:firstRow="1" w:lastRow="0" w:firstColumn="1" w:lastColumn="0" w:noHBand="0" w:noVBand="1"/>
      </w:tblPr>
      <w:tblGrid>
        <w:gridCol w:w="9629"/>
      </w:tblGrid>
      <w:tr w:rsidR="008B65CA" w14:paraId="36ACA6BC" w14:textId="77777777" w:rsidTr="008B65CA">
        <w:tc>
          <w:tcPr>
            <w:tcW w:w="9629" w:type="dxa"/>
          </w:tcPr>
          <w:p w14:paraId="2B040590" w14:textId="77777777" w:rsidR="008B65CA" w:rsidRPr="00AA0687" w:rsidRDefault="008B65CA" w:rsidP="008B65CA">
            <w:pPr>
              <w:spacing w:after="0"/>
              <w:rPr>
                <w:rFonts w:eastAsia="SimSun" w:cs="Times"/>
                <w:b/>
                <w:lang w:eastAsia="zh-CN"/>
              </w:rPr>
            </w:pPr>
            <w:r w:rsidRPr="00AA0687">
              <w:rPr>
                <w:rFonts w:cs="Times"/>
                <w:b/>
                <w:highlight w:val="green"/>
                <w:lang w:eastAsia="zh-CN"/>
              </w:rPr>
              <w:t>Agreement</w:t>
            </w:r>
          </w:p>
          <w:p w14:paraId="54562826" w14:textId="77777777" w:rsidR="008B65CA" w:rsidRPr="00AA0687" w:rsidRDefault="008B65CA" w:rsidP="008B65CA">
            <w:pPr>
              <w:spacing w:after="0"/>
              <w:rPr>
                <w:rFonts w:cs="Times"/>
                <w:lang w:eastAsia="zh-CN"/>
              </w:rPr>
            </w:pPr>
            <w:r w:rsidRPr="00AA0687">
              <w:rPr>
                <w:rFonts w:cs="Times"/>
                <w:lang w:eastAsia="zh-CN"/>
              </w:rPr>
              <w:t>To support soft resource availability in the frequency domain, the existing DCI 2_5 format is reused according to one of the following alternatives:</w:t>
            </w:r>
          </w:p>
          <w:p w14:paraId="084F148C" w14:textId="77777777" w:rsidR="008B65CA" w:rsidRPr="00AA0687" w:rsidRDefault="008B65CA" w:rsidP="00BE3BD9">
            <w:pPr>
              <w:pStyle w:val="ListParagraph"/>
              <w:numPr>
                <w:ilvl w:val="0"/>
                <w:numId w:val="10"/>
              </w:numPr>
              <w:overflowPunct/>
              <w:autoSpaceDE/>
              <w:autoSpaceDN/>
              <w:adjustRightInd/>
              <w:spacing w:after="0"/>
              <w:textAlignment w:val="auto"/>
              <w:rPr>
                <w:rFonts w:cs="Times"/>
                <w:szCs w:val="22"/>
                <w:lang w:eastAsia="zh-CN"/>
              </w:rPr>
            </w:pPr>
            <w:r w:rsidRPr="00AA0687">
              <w:rPr>
                <w:rFonts w:cs="Times"/>
                <w:szCs w:val="22"/>
                <w:lang w:eastAsia="zh-CN"/>
              </w:rPr>
              <w:t>Alt. 1: A single DCI format 2_5 can be received indicating availability for multiple RB sets which correspond to the same time resources of the child IAB-DU cell.</w:t>
            </w:r>
          </w:p>
          <w:p w14:paraId="7C2B5FBE" w14:textId="77777777" w:rsidR="00182E4C" w:rsidRDefault="008B65CA" w:rsidP="00BE3BD9">
            <w:pPr>
              <w:pStyle w:val="ListParagraph"/>
              <w:numPr>
                <w:ilvl w:val="0"/>
                <w:numId w:val="10"/>
              </w:numPr>
              <w:overflowPunct/>
              <w:autoSpaceDE/>
              <w:autoSpaceDN/>
              <w:adjustRightInd/>
              <w:spacing w:after="0"/>
              <w:contextualSpacing w:val="0"/>
              <w:textAlignment w:val="auto"/>
              <w:rPr>
                <w:rFonts w:cs="Times"/>
                <w:szCs w:val="22"/>
                <w:lang w:eastAsia="zh-CN"/>
              </w:rPr>
            </w:pPr>
            <w:r w:rsidRPr="00AA0687">
              <w:rPr>
                <w:rFonts w:cs="Times"/>
                <w:szCs w:val="22"/>
                <w:lang w:eastAsia="zh-CN"/>
              </w:rPr>
              <w:t>Alt. 2: Multiple DCI format 2_5 can be received indicating availability with the granularity of one or more RB set(s) for different RB sets which correspond to the same time resources of the child IAB-DU cell.</w:t>
            </w:r>
          </w:p>
          <w:p w14:paraId="394211AB" w14:textId="607824DF" w:rsidR="008B65CA" w:rsidRPr="00182E4C" w:rsidRDefault="008B65CA" w:rsidP="00BE3BD9">
            <w:pPr>
              <w:pStyle w:val="ListParagraph"/>
              <w:numPr>
                <w:ilvl w:val="0"/>
                <w:numId w:val="10"/>
              </w:numPr>
              <w:overflowPunct/>
              <w:autoSpaceDE/>
              <w:autoSpaceDN/>
              <w:adjustRightInd/>
              <w:spacing w:after="0"/>
              <w:contextualSpacing w:val="0"/>
              <w:textAlignment w:val="auto"/>
              <w:rPr>
                <w:rFonts w:cs="Times"/>
                <w:szCs w:val="22"/>
                <w:lang w:eastAsia="zh-CN"/>
              </w:rPr>
            </w:pPr>
            <w:r w:rsidRPr="00182E4C">
              <w:rPr>
                <w:rFonts w:cs="Times"/>
                <w:szCs w:val="22"/>
                <w:lang w:eastAsia="zh-CN"/>
              </w:rPr>
              <w:t>Alt. 3: A single DCI format 2_5 can be received indicating availability of all the soft resources which correspond to the same time resources of the child IAB-DU cell.</w:t>
            </w:r>
          </w:p>
        </w:tc>
      </w:tr>
    </w:tbl>
    <w:p w14:paraId="1AB59075" w14:textId="77777777" w:rsidR="00D8604E" w:rsidRDefault="00D8604E" w:rsidP="00D8604E">
      <w:pPr>
        <w:spacing w:after="0"/>
        <w:rPr>
          <w:b/>
          <w:bCs/>
          <w:lang w:eastAsia="x-none"/>
        </w:rPr>
      </w:pPr>
    </w:p>
    <w:p w14:paraId="3BAB47D3" w14:textId="03C07B5B" w:rsidR="00D8604E" w:rsidRDefault="00182E4C" w:rsidP="008B65CA">
      <w:pPr>
        <w:overflowPunct/>
        <w:autoSpaceDE/>
        <w:autoSpaceDN/>
        <w:adjustRightInd/>
        <w:spacing w:after="0"/>
        <w:textAlignment w:val="auto"/>
        <w:rPr>
          <w:rFonts w:cs="Times"/>
          <w:szCs w:val="22"/>
          <w:lang w:eastAsia="zh-CN"/>
        </w:rPr>
      </w:pPr>
      <w:r>
        <w:rPr>
          <w:rFonts w:cs="Times"/>
          <w:szCs w:val="22"/>
          <w:lang w:eastAsia="zh-CN"/>
        </w:rPr>
        <w:t>Among these three alternatives, we can see that:</w:t>
      </w:r>
    </w:p>
    <w:p w14:paraId="73CF00D0" w14:textId="2BAA2FFD" w:rsidR="00985ED5" w:rsidRDefault="001E6B5B" w:rsidP="00BE3BD9">
      <w:pPr>
        <w:pStyle w:val="ListParagraph"/>
        <w:numPr>
          <w:ilvl w:val="0"/>
          <w:numId w:val="13"/>
        </w:numPr>
      </w:pPr>
      <w:r>
        <w:t>Both Alt1 and Alt2</w:t>
      </w:r>
      <w:r w:rsidR="00C6246D">
        <w:t xml:space="preserve"> have flexibility to indicate availability of </w:t>
      </w:r>
      <w:r w:rsidR="00C6246D" w:rsidRPr="00C97E4D">
        <w:rPr>
          <w:u w:val="single"/>
        </w:rPr>
        <w:t xml:space="preserve">all </w:t>
      </w:r>
      <w:r w:rsidR="00C97E4D" w:rsidRPr="00C97E4D">
        <w:rPr>
          <w:u w:val="single"/>
        </w:rPr>
        <w:t xml:space="preserve">or a subset of </w:t>
      </w:r>
      <w:r w:rsidR="00C6246D">
        <w:t xml:space="preserve">soft RB sets </w:t>
      </w:r>
      <w:r w:rsidR="00C97E4D">
        <w:t>in a slot</w:t>
      </w:r>
      <w:r w:rsidR="00090256">
        <w:t xml:space="preserve"> to the child node</w:t>
      </w:r>
      <w:r w:rsidR="00F71C24">
        <w:t>.</w:t>
      </w:r>
      <w:r w:rsidR="00796408">
        <w:t xml:space="preserve"> This flexibility allows for an IAB-node to dynamically partition soft RB sets of a slot between itself and its child node, e.g. based on applicability of multiplexing capability.</w:t>
      </w:r>
      <w:r w:rsidR="00775819">
        <w:t xml:space="preserve"> </w:t>
      </w:r>
    </w:p>
    <w:p w14:paraId="6E8BD8CE" w14:textId="16ED1927" w:rsidR="00FD0513" w:rsidRDefault="00FA2D31" w:rsidP="00BE3BD9">
      <w:pPr>
        <w:pStyle w:val="ListParagraph"/>
        <w:numPr>
          <w:ilvl w:val="1"/>
          <w:numId w:val="13"/>
        </w:numPr>
      </w:pPr>
      <w:r>
        <w:t xml:space="preserve">Note that </w:t>
      </w:r>
      <w:r w:rsidR="00985ED5">
        <w:t>the simultaneous multiplexing capability can be conditional and dynamic, e.g.</w:t>
      </w:r>
      <w:r w:rsidR="00FD0513">
        <w:t xml:space="preserve"> due to changes in environment or </w:t>
      </w:r>
      <w:r w:rsidR="00521EC6">
        <w:t xml:space="preserve">whether the required conditions for the simultaneous operation mode can be met or not. </w:t>
      </w:r>
      <w:r w:rsidR="00985ED5">
        <w:t xml:space="preserve">  </w:t>
      </w:r>
    </w:p>
    <w:p w14:paraId="7F6F0C98" w14:textId="75A35F9D" w:rsidR="00F71C24" w:rsidRDefault="00C13334" w:rsidP="00BE3BD9">
      <w:pPr>
        <w:pStyle w:val="ListParagraph"/>
        <w:numPr>
          <w:ilvl w:val="1"/>
          <w:numId w:val="13"/>
        </w:numPr>
      </w:pPr>
      <w:r>
        <w:t xml:space="preserve">E.g. a slot </w:t>
      </w:r>
      <w:r w:rsidR="005175CD">
        <w:t>can be indicated as soft for all</w:t>
      </w:r>
      <w:r w:rsidR="00E31CA7">
        <w:t xml:space="preserve"> RB sets, if </w:t>
      </w:r>
      <w:r w:rsidR="0094051B">
        <w:t xml:space="preserve">FDM is required to support </w:t>
      </w:r>
      <w:r w:rsidR="00E31CA7">
        <w:t xml:space="preserve">a </w:t>
      </w:r>
      <w:r w:rsidR="00043905">
        <w:t>simultaneous multiplexing mode</w:t>
      </w:r>
      <w:r w:rsidR="00C12CB3">
        <w:t xml:space="preserve"> at the child node</w:t>
      </w:r>
      <w:r w:rsidR="00043905">
        <w:t xml:space="preserve">, the </w:t>
      </w:r>
      <w:r w:rsidR="009A6370">
        <w:t>IAB-node</w:t>
      </w:r>
      <w:r w:rsidR="00043905">
        <w:t xml:space="preserve"> may release a subset of the RB sets to </w:t>
      </w:r>
      <w:r w:rsidR="00EE5545">
        <w:t>the child node for FDM</w:t>
      </w:r>
      <w:r w:rsidR="00CA279D">
        <w:t xml:space="preserve"> operation</w:t>
      </w:r>
      <w:r w:rsidR="00CC6ECB">
        <w:t>; and if</w:t>
      </w:r>
      <w:r w:rsidR="0094051B">
        <w:t xml:space="preserve"> the simultaneous multiplexing </w:t>
      </w:r>
      <w:r w:rsidR="00C12CB3">
        <w:t>mode</w:t>
      </w:r>
      <w:r w:rsidR="009A6370">
        <w:t xml:space="preserve"> cannot be supported at the child node</w:t>
      </w:r>
      <w:r w:rsidR="00060C5F">
        <w:t xml:space="preserve">, </w:t>
      </w:r>
      <w:r w:rsidR="00CC37EA">
        <w:t>the IAB-node may release the wh</w:t>
      </w:r>
      <w:r w:rsidR="00CA279D">
        <w:t>ole</w:t>
      </w:r>
      <w:r w:rsidR="00CC37EA">
        <w:t xml:space="preserve"> soft slot to the child node for TDM </w:t>
      </w:r>
      <w:r w:rsidR="00CA279D">
        <w:t>operation.</w:t>
      </w:r>
      <w:r w:rsidR="00060C5F">
        <w:t xml:space="preserve"> </w:t>
      </w:r>
      <w:r w:rsidR="00C12CB3">
        <w:t xml:space="preserve"> </w:t>
      </w:r>
      <w:r w:rsidR="00CC6ECB">
        <w:t xml:space="preserve"> </w:t>
      </w:r>
      <w:r w:rsidR="00EE5545">
        <w:t xml:space="preserve"> </w:t>
      </w:r>
      <w:r w:rsidR="005175CD">
        <w:t xml:space="preserve"> </w:t>
      </w:r>
      <w:r>
        <w:t xml:space="preserve"> </w:t>
      </w:r>
      <w:r w:rsidR="00AB248F">
        <w:t xml:space="preserve"> </w:t>
      </w:r>
      <w:r w:rsidR="002662D4">
        <w:t xml:space="preserve">  </w:t>
      </w:r>
      <w:r w:rsidR="00775819">
        <w:t xml:space="preserve"> </w:t>
      </w:r>
    </w:p>
    <w:p w14:paraId="735A3BB2" w14:textId="228F32D3" w:rsidR="007176A4" w:rsidRDefault="00DE5469" w:rsidP="00BE3BD9">
      <w:pPr>
        <w:pStyle w:val="ListParagraph"/>
        <w:numPr>
          <w:ilvl w:val="0"/>
          <w:numId w:val="13"/>
        </w:numPr>
      </w:pPr>
      <w:r>
        <w:t>In</w:t>
      </w:r>
      <w:r w:rsidR="00090256">
        <w:t xml:space="preserve"> Alt3</w:t>
      </w:r>
      <w:r>
        <w:t xml:space="preserve">, the existing DCI2_5 framework is </w:t>
      </w:r>
      <w:r w:rsidR="00A4084C">
        <w:t xml:space="preserve">reused for the case </w:t>
      </w:r>
      <w:r w:rsidR="00257828">
        <w:t>with</w:t>
      </w:r>
      <w:r w:rsidR="00A4084C">
        <w:t xml:space="preserve"> </w:t>
      </w:r>
      <w:r w:rsidR="00257828">
        <w:t>H/S/NA</w:t>
      </w:r>
      <w:r w:rsidR="00683958">
        <w:t xml:space="preserve"> pattern configured in frequency-domain in granularity of a</w:t>
      </w:r>
      <w:r w:rsidR="001913DF">
        <w:t>n</w:t>
      </w:r>
      <w:r w:rsidR="00683958">
        <w:t xml:space="preserve"> RB set.</w:t>
      </w:r>
      <w:r w:rsidR="00A4084C">
        <w:t xml:space="preserve"> </w:t>
      </w:r>
      <w:r w:rsidR="001913DF">
        <w:t>But Alt3</w:t>
      </w:r>
      <w:r w:rsidR="00090256">
        <w:t xml:space="preserve"> is more restrictive than Alt</w:t>
      </w:r>
      <w:r w:rsidR="001913DF">
        <w:t>1</w:t>
      </w:r>
      <w:r w:rsidR="00A30C79">
        <w:t xml:space="preserve"> &amp; Alt</w:t>
      </w:r>
      <w:r w:rsidR="00090256">
        <w:t xml:space="preserve">2 </w:t>
      </w:r>
      <w:r w:rsidR="00F71C24">
        <w:t xml:space="preserve">in that it </w:t>
      </w:r>
      <w:r w:rsidR="00090256">
        <w:t xml:space="preserve">can only indicate availability of all soft RB sets in a slot. </w:t>
      </w:r>
    </w:p>
    <w:p w14:paraId="140AAE73" w14:textId="77777777" w:rsidR="00544E3F" w:rsidRDefault="0014038B" w:rsidP="00BE3BD9">
      <w:pPr>
        <w:pStyle w:val="ListParagraph"/>
        <w:numPr>
          <w:ilvl w:val="1"/>
          <w:numId w:val="13"/>
        </w:numPr>
      </w:pPr>
      <w:r>
        <w:t>For the case that a slot is in</w:t>
      </w:r>
      <w:r w:rsidR="007176A4">
        <w:t xml:space="preserve">dicated as soft for all RB sets, </w:t>
      </w:r>
      <w:r w:rsidR="000237DE">
        <w:t>the IAB-node cannot release a subset of RB sets for FDM operation with the child node.</w:t>
      </w:r>
      <w:r w:rsidR="00C6246D">
        <w:t xml:space="preserve"> </w:t>
      </w:r>
    </w:p>
    <w:p w14:paraId="2AF1F6C5" w14:textId="77777777" w:rsidR="00C54901" w:rsidRDefault="00544E3F" w:rsidP="00BE3BD9">
      <w:pPr>
        <w:pStyle w:val="ListParagraph"/>
        <w:numPr>
          <w:ilvl w:val="0"/>
          <w:numId w:val="13"/>
        </w:numPr>
      </w:pPr>
      <w:r>
        <w:t xml:space="preserve">Between Alt1 and Alt2, </w:t>
      </w:r>
      <w:r w:rsidR="00A30C79">
        <w:t xml:space="preserve">Alt2 requires </w:t>
      </w:r>
      <w:r w:rsidR="00380DB1">
        <w:t xml:space="preserve">transmission of </w:t>
      </w:r>
      <w:r w:rsidR="00A30C79">
        <w:t>multiple DCI</w:t>
      </w:r>
      <w:r w:rsidR="00380DB1">
        <w:t xml:space="preserve">2_5s for different RB sets and has more over-the-air signaling </w:t>
      </w:r>
      <w:r w:rsidR="008745CE">
        <w:t xml:space="preserve">overhead than Alt1. It may also require more spec effort to define </w:t>
      </w:r>
      <w:r w:rsidR="004548BA">
        <w:t xml:space="preserve">interactions between these DCI2_5s. </w:t>
      </w:r>
    </w:p>
    <w:p w14:paraId="6EEF0CD6" w14:textId="77777777" w:rsidR="00C54901" w:rsidRDefault="00C54901" w:rsidP="002C00CC">
      <w:r>
        <w:t xml:space="preserve">Based on above analysis, we propose to support ALT1. </w:t>
      </w:r>
    </w:p>
    <w:p w14:paraId="7B265949" w14:textId="41D891B2" w:rsidR="00F06AD2" w:rsidRDefault="00F06AD2" w:rsidP="002C00CC">
      <w:pPr>
        <w:rPr>
          <w:b/>
          <w:bCs/>
          <w:u w:val="single"/>
          <w:lang w:eastAsia="zh-CN"/>
        </w:rPr>
      </w:pPr>
      <w:r>
        <w:rPr>
          <w:b/>
          <w:bCs/>
          <w:u w:val="single"/>
          <w:lang w:eastAsia="zh-CN"/>
        </w:rPr>
        <w:t>Observation 2.1</w:t>
      </w:r>
    </w:p>
    <w:p w14:paraId="71289A0A" w14:textId="77777777" w:rsidR="0075799F" w:rsidRDefault="00A40524" w:rsidP="002C00CC">
      <w:pPr>
        <w:rPr>
          <w:b/>
          <w:bCs/>
          <w:lang w:eastAsia="zh-CN"/>
        </w:rPr>
      </w:pPr>
      <w:r>
        <w:rPr>
          <w:b/>
          <w:bCs/>
          <w:lang w:eastAsia="zh-CN"/>
        </w:rPr>
        <w:t xml:space="preserve">For supporting soft resource availability in frequency-domain, </w:t>
      </w:r>
    </w:p>
    <w:p w14:paraId="3D8658A1" w14:textId="6602F03A" w:rsidR="000139D6" w:rsidRDefault="002F70CC" w:rsidP="00BE3BD9">
      <w:pPr>
        <w:pStyle w:val="ListParagraph"/>
        <w:numPr>
          <w:ilvl w:val="0"/>
          <w:numId w:val="14"/>
        </w:numPr>
        <w:rPr>
          <w:b/>
          <w:bCs/>
          <w:lang w:eastAsia="zh-CN"/>
        </w:rPr>
      </w:pPr>
      <w:r>
        <w:rPr>
          <w:b/>
          <w:bCs/>
          <w:lang w:eastAsia="zh-CN"/>
        </w:rPr>
        <w:t xml:space="preserve">Alt1 is more </w:t>
      </w:r>
      <w:r w:rsidR="00500170">
        <w:rPr>
          <w:b/>
          <w:bCs/>
          <w:lang w:eastAsia="zh-CN"/>
        </w:rPr>
        <w:t xml:space="preserve">flexible than Alt3 </w:t>
      </w:r>
      <w:r>
        <w:rPr>
          <w:b/>
          <w:bCs/>
          <w:lang w:eastAsia="zh-CN"/>
        </w:rPr>
        <w:t>in that it can</w:t>
      </w:r>
      <w:r w:rsidR="00500170">
        <w:rPr>
          <w:b/>
          <w:bCs/>
          <w:lang w:eastAsia="zh-CN"/>
        </w:rPr>
        <w:t xml:space="preserve"> </w:t>
      </w:r>
      <w:r w:rsidR="00500170" w:rsidRPr="007747BD">
        <w:rPr>
          <w:b/>
          <w:bCs/>
          <w:u w:val="single"/>
          <w:lang w:eastAsia="zh-CN"/>
        </w:rPr>
        <w:t>dynamically</w:t>
      </w:r>
      <w:r w:rsidR="00500170">
        <w:rPr>
          <w:b/>
          <w:bCs/>
          <w:lang w:eastAsia="zh-CN"/>
        </w:rPr>
        <w:t xml:space="preserve"> indicate availability of </w:t>
      </w:r>
      <w:r w:rsidR="00500170" w:rsidRPr="00CD4519">
        <w:rPr>
          <w:b/>
          <w:bCs/>
          <w:u w:val="single"/>
          <w:lang w:eastAsia="zh-CN"/>
        </w:rPr>
        <w:t>all or a subset of RB sets</w:t>
      </w:r>
      <w:r w:rsidR="00500170">
        <w:rPr>
          <w:b/>
          <w:bCs/>
          <w:lang w:eastAsia="zh-CN"/>
        </w:rPr>
        <w:t xml:space="preserve"> </w:t>
      </w:r>
      <w:r w:rsidR="00CD4519">
        <w:rPr>
          <w:b/>
          <w:bCs/>
          <w:lang w:eastAsia="zh-CN"/>
        </w:rPr>
        <w:t>to the child node based on applicability of simultaneous operation mode</w:t>
      </w:r>
      <w:r w:rsidR="000139D6">
        <w:rPr>
          <w:b/>
          <w:bCs/>
          <w:lang w:eastAsia="zh-CN"/>
        </w:rPr>
        <w:t xml:space="preserve"> and FDM requirement</w:t>
      </w:r>
      <w:r w:rsidR="00CD4519">
        <w:rPr>
          <w:b/>
          <w:bCs/>
          <w:lang w:eastAsia="zh-CN"/>
        </w:rPr>
        <w:t>.</w:t>
      </w:r>
    </w:p>
    <w:p w14:paraId="2C5A1EE6" w14:textId="72959662" w:rsidR="00F06AD2" w:rsidRPr="0075799F" w:rsidRDefault="00262DAE" w:rsidP="00BE3BD9">
      <w:pPr>
        <w:pStyle w:val="ListParagraph"/>
        <w:numPr>
          <w:ilvl w:val="0"/>
          <w:numId w:val="14"/>
        </w:numPr>
        <w:rPr>
          <w:b/>
          <w:bCs/>
          <w:lang w:eastAsia="zh-CN"/>
        </w:rPr>
      </w:pPr>
      <w:r>
        <w:rPr>
          <w:b/>
          <w:bCs/>
          <w:lang w:eastAsia="zh-CN"/>
        </w:rPr>
        <w:t xml:space="preserve">Alt1 </w:t>
      </w:r>
      <w:r w:rsidR="00A039BD">
        <w:rPr>
          <w:b/>
          <w:bCs/>
          <w:lang w:eastAsia="zh-CN"/>
        </w:rPr>
        <w:t>has less over-the-air signaling overhead than Alt2.</w:t>
      </w:r>
      <w:r w:rsidR="00CD4519">
        <w:rPr>
          <w:b/>
          <w:bCs/>
          <w:lang w:eastAsia="zh-CN"/>
        </w:rPr>
        <w:t xml:space="preserve"> </w:t>
      </w:r>
      <w:r w:rsidR="002F70CC">
        <w:rPr>
          <w:b/>
          <w:bCs/>
          <w:lang w:eastAsia="zh-CN"/>
        </w:rPr>
        <w:t xml:space="preserve"> </w:t>
      </w:r>
      <w:r w:rsidR="00A40524" w:rsidRPr="0075799F">
        <w:rPr>
          <w:b/>
          <w:bCs/>
          <w:lang w:eastAsia="zh-CN"/>
        </w:rPr>
        <w:t xml:space="preserve"> </w:t>
      </w:r>
    </w:p>
    <w:p w14:paraId="5CC737B9" w14:textId="68C57BAC" w:rsidR="002C00CC" w:rsidRDefault="002C00CC" w:rsidP="002C00CC">
      <w:pPr>
        <w:rPr>
          <w:b/>
          <w:bCs/>
          <w:u w:val="single"/>
          <w:lang w:eastAsia="zh-CN"/>
        </w:rPr>
      </w:pPr>
      <w:r>
        <w:rPr>
          <w:b/>
          <w:bCs/>
          <w:u w:val="single"/>
          <w:lang w:eastAsia="zh-CN"/>
        </w:rPr>
        <w:t>Proposal 2.4</w:t>
      </w:r>
      <w:r w:rsidRPr="00D24022">
        <w:rPr>
          <w:b/>
          <w:bCs/>
          <w:u w:val="single"/>
          <w:lang w:eastAsia="zh-CN"/>
        </w:rPr>
        <w:t>:</w:t>
      </w:r>
    </w:p>
    <w:p w14:paraId="0C91EDBF" w14:textId="4E4283C2" w:rsidR="00EB4C84" w:rsidRPr="002C00CC" w:rsidRDefault="00725400" w:rsidP="002C00CC">
      <w:r>
        <w:rPr>
          <w:b/>
          <w:bCs/>
          <w:lang w:eastAsia="zh-CN"/>
        </w:rPr>
        <w:t xml:space="preserve">Support Alt1 </w:t>
      </w:r>
      <w:r w:rsidR="005653A2">
        <w:rPr>
          <w:b/>
          <w:bCs/>
          <w:lang w:eastAsia="zh-CN"/>
        </w:rPr>
        <w:t xml:space="preserve">with a single DCI format 2_5 to indicate </w:t>
      </w:r>
      <w:r>
        <w:rPr>
          <w:b/>
          <w:bCs/>
          <w:lang w:eastAsia="zh-CN"/>
        </w:rPr>
        <w:t xml:space="preserve">availability </w:t>
      </w:r>
      <w:r w:rsidR="00627E58">
        <w:rPr>
          <w:b/>
          <w:bCs/>
          <w:lang w:eastAsia="zh-CN"/>
        </w:rPr>
        <w:t>for multiple RB sets</w:t>
      </w:r>
      <w:r w:rsidR="00F06AD2">
        <w:rPr>
          <w:b/>
          <w:bCs/>
          <w:lang w:eastAsia="zh-CN"/>
        </w:rPr>
        <w:t xml:space="preserve"> corresponding to the same time resource of the child IAB-DU cell.</w:t>
      </w:r>
      <w:r>
        <w:rPr>
          <w:b/>
          <w:bCs/>
          <w:lang w:eastAsia="zh-CN"/>
        </w:rPr>
        <w:t xml:space="preserve">  </w:t>
      </w:r>
      <w:r w:rsidR="002C00CC" w:rsidRPr="002C00CC">
        <w:rPr>
          <w:b/>
          <w:bCs/>
          <w:lang w:eastAsia="zh-CN"/>
        </w:rPr>
        <w:t xml:space="preserve"> </w:t>
      </w:r>
      <w:r w:rsidR="00A30C79" w:rsidRPr="002C00CC">
        <w:t xml:space="preserve"> </w:t>
      </w:r>
      <w:r w:rsidR="001E6B5B" w:rsidRPr="002C00CC">
        <w:t xml:space="preserve"> </w:t>
      </w:r>
    </w:p>
    <w:p w14:paraId="43DE6410" w14:textId="45B19215" w:rsidR="001D107E" w:rsidRDefault="001D107E" w:rsidP="00347C4D">
      <w:r>
        <w:rPr>
          <w:noProof/>
        </w:rPr>
        <w:lastRenderedPageBreak/>
        <w:drawing>
          <wp:inline distT="0" distB="0" distL="0" distR="0" wp14:anchorId="483DF90F" wp14:editId="0C888E97">
            <wp:extent cx="5915660" cy="22226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541" cy="2230532"/>
                    </a:xfrm>
                    <a:prstGeom prst="rect">
                      <a:avLst/>
                    </a:prstGeom>
                    <a:noFill/>
                  </pic:spPr>
                </pic:pic>
              </a:graphicData>
            </a:graphic>
          </wp:inline>
        </w:drawing>
      </w:r>
    </w:p>
    <w:p w14:paraId="66335A24" w14:textId="5B1602D3" w:rsidR="001D107E" w:rsidRDefault="001D107E" w:rsidP="001D107E">
      <w:pPr>
        <w:jc w:val="center"/>
      </w:pPr>
      <w:r w:rsidRPr="0003657B">
        <w:rPr>
          <w:b/>
          <w:bCs/>
        </w:rPr>
        <w:t>Fig.</w:t>
      </w:r>
      <w:r>
        <w:rPr>
          <w:b/>
          <w:bCs/>
        </w:rPr>
        <w:t>2</w:t>
      </w:r>
      <w:r w:rsidRPr="0003657B">
        <w:rPr>
          <w:b/>
          <w:bCs/>
        </w:rPr>
        <w:t xml:space="preserve">. </w:t>
      </w:r>
      <w:r>
        <w:rPr>
          <w:b/>
          <w:bCs/>
        </w:rPr>
        <w:t>Example of signaling enhancements to support dynamic FDM within a carrier</w:t>
      </w:r>
    </w:p>
    <w:p w14:paraId="1E2AB292" w14:textId="304BC78E" w:rsidR="00347C4D" w:rsidRDefault="00A039BD" w:rsidP="00347C4D">
      <w:r>
        <w:t xml:space="preserve">In Fig.2, </w:t>
      </w:r>
      <w:r w:rsidR="00F518ED">
        <w:t xml:space="preserve">we show an example of signaling enhancements </w:t>
      </w:r>
      <w:r w:rsidR="00886C6F">
        <w:t>to achieve Alt1, where</w:t>
      </w:r>
      <w:r w:rsidR="00347C4D">
        <w:t xml:space="preserve"> the RRC configured table for the availability combinations </w:t>
      </w:r>
      <w:r w:rsidR="00410739">
        <w:t xml:space="preserve">is extended </w:t>
      </w:r>
      <w:r w:rsidR="00347C4D">
        <w:t>so that availability can be indicated in both time and frequency domain. There can be different options to extend the RRC configured table, and two options are shown in Fig.</w:t>
      </w:r>
      <w:r w:rsidR="000B14D9">
        <w:t>2</w:t>
      </w:r>
      <w:r w:rsidR="00347C4D">
        <w:t xml:space="preserve">. In Option1, the one 3-bit </w:t>
      </w:r>
      <w:r w:rsidR="00347C4D" w:rsidRPr="00F75F1A">
        <w:rPr>
          <w:i/>
          <w:iCs/>
        </w:rPr>
        <w:t>resourceAvailability</w:t>
      </w:r>
      <w:r w:rsidR="00347C4D">
        <w:t xml:space="preserve"> element per slot in Rel-16 can be extended to multiple </w:t>
      </w:r>
      <w:r w:rsidR="00347C4D" w:rsidRPr="00F75F1A">
        <w:rPr>
          <w:i/>
          <w:iCs/>
        </w:rPr>
        <w:t>resourceAvailability</w:t>
      </w:r>
      <w:r w:rsidR="00347C4D">
        <w:t xml:space="preserve"> elements per slot, each associated with one RB set of the slot. In option2, the one 3-bit </w:t>
      </w:r>
      <w:r w:rsidR="00347C4D" w:rsidRPr="00F75F1A">
        <w:rPr>
          <w:i/>
          <w:iCs/>
        </w:rPr>
        <w:t>resourceAvailability</w:t>
      </w:r>
      <w:r w:rsidR="00347C4D">
        <w:t xml:space="preserve"> element per slot in Rel-16 can be extended to two elements per slot: one for time-domain indication, and one for frequency-domain indication. It can be seen that option1 provides more flexible patterns but at </w:t>
      </w:r>
      <w:r w:rsidR="00EA6649">
        <w:t xml:space="preserve">the </w:t>
      </w:r>
      <w:r w:rsidR="00347C4D">
        <w:t xml:space="preserve">cost of higher signaling overhead than option2.       </w:t>
      </w:r>
    </w:p>
    <w:p w14:paraId="5D0AD337" w14:textId="7867B1B4" w:rsidR="00347C4D" w:rsidRDefault="00347C4D" w:rsidP="00347C4D">
      <w:r>
        <w:t xml:space="preserve">Note that if the semi-static configuration of H/S/NA is extended to </w:t>
      </w:r>
      <w:r w:rsidR="00EA6649">
        <w:t xml:space="preserve">the </w:t>
      </w:r>
      <w:r>
        <w:t xml:space="preserve">frequency-domain, the term “soft DL/UL/Flexible symbols” used in the spec-defined table for </w:t>
      </w:r>
      <w:r w:rsidRPr="00EB7C21">
        <w:rPr>
          <w:i/>
          <w:iCs/>
        </w:rPr>
        <w:t>resourceAvailability</w:t>
      </w:r>
      <w:r>
        <w:t xml:space="preserve"> elements in TS38.213 [4] may not be valid, because a symbol can have mixed indications of “Hard/NA/Soft” at different RB sets in frequency-domain. Therefore, we propose to update the spec-defined table for </w:t>
      </w:r>
      <w:r w:rsidRPr="00EB7C21">
        <w:rPr>
          <w:i/>
          <w:iCs/>
        </w:rPr>
        <w:t>resourceAvailability</w:t>
      </w:r>
      <w:r>
        <w:t xml:space="preserve"> elements with more general terms so that it can be applied regardless whether the semi-static configuration of Hard/Soft/NA is extended to frequency-domain, e.g. replacing “soft DL/UL/Flexible symbols” with “soft resources in DL/UL/Flexible symbols” as shown in Fig.</w:t>
      </w:r>
      <w:r w:rsidR="00EA6649">
        <w:t>3</w:t>
      </w:r>
      <w:r>
        <w:t>.</w:t>
      </w:r>
    </w:p>
    <w:p w14:paraId="0355C27F" w14:textId="0D9108B1" w:rsidR="00347C4D" w:rsidRDefault="00347C4D" w:rsidP="00347C4D">
      <w:pPr>
        <w:rPr>
          <w:b/>
          <w:bCs/>
          <w:u w:val="single"/>
          <w:lang w:eastAsia="zh-CN"/>
        </w:rPr>
      </w:pPr>
      <w:r>
        <w:rPr>
          <w:b/>
          <w:bCs/>
          <w:u w:val="single"/>
          <w:lang w:eastAsia="zh-CN"/>
        </w:rPr>
        <w:t>Proposal 2.</w:t>
      </w:r>
      <w:r w:rsidR="003120A1">
        <w:rPr>
          <w:b/>
          <w:bCs/>
          <w:u w:val="single"/>
          <w:lang w:eastAsia="zh-CN"/>
        </w:rPr>
        <w:t>5</w:t>
      </w:r>
      <w:r w:rsidRPr="00D24022">
        <w:rPr>
          <w:b/>
          <w:bCs/>
          <w:u w:val="single"/>
          <w:lang w:eastAsia="zh-CN"/>
        </w:rPr>
        <w:t>:</w:t>
      </w:r>
    </w:p>
    <w:p w14:paraId="0C1329A1" w14:textId="77777777" w:rsidR="00347C4D" w:rsidRPr="00784F24" w:rsidRDefault="00347C4D" w:rsidP="00347C4D">
      <w:pPr>
        <w:rPr>
          <w:b/>
          <w:bCs/>
          <w:lang w:val="en-US"/>
        </w:rPr>
      </w:pPr>
      <w:r w:rsidRPr="00784F24">
        <w:rPr>
          <w:b/>
          <w:bCs/>
          <w:lang w:val="en-US"/>
        </w:rPr>
        <w:t xml:space="preserve">Update resourceAvailability mapping table defined in TS38.213 so that the indication of availability can be applied over soft resources in frequency-domain for DL or UL or Flexible symbols. </w:t>
      </w:r>
    </w:p>
    <w:p w14:paraId="5630AE66" w14:textId="77777777" w:rsidR="00347C4D" w:rsidRDefault="00347C4D" w:rsidP="00BE3BD9">
      <w:pPr>
        <w:pStyle w:val="ListParagraph"/>
        <w:numPr>
          <w:ilvl w:val="0"/>
          <w:numId w:val="1"/>
        </w:numPr>
      </w:pPr>
      <w:r w:rsidRPr="00784F24">
        <w:rPr>
          <w:b/>
          <w:bCs/>
          <w:lang w:val="en-US"/>
        </w:rPr>
        <w:t>E.g. replacing “soft DL/UL/Flexible symbols” with “soft resources in DL/UL/Flexible symbols”</w:t>
      </w:r>
      <w:r w:rsidRPr="00784F24">
        <w:rPr>
          <w:b/>
          <w:bCs/>
        </w:rPr>
        <w:t xml:space="preserve"> </w:t>
      </w:r>
    </w:p>
    <w:p w14:paraId="249F5FA4" w14:textId="77777777" w:rsidR="00347C4D" w:rsidRDefault="00347C4D" w:rsidP="00347C4D">
      <w:pPr>
        <w:jc w:val="center"/>
      </w:pPr>
      <w:r>
        <w:rPr>
          <w:noProof/>
        </w:rPr>
        <w:drawing>
          <wp:inline distT="0" distB="0" distL="0" distR="0" wp14:anchorId="3BCBB5B4" wp14:editId="11067F67">
            <wp:extent cx="5764990" cy="1942733"/>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82159" cy="1948519"/>
                    </a:xfrm>
                    <a:prstGeom prst="rect">
                      <a:avLst/>
                    </a:prstGeom>
                    <a:noFill/>
                  </pic:spPr>
                </pic:pic>
              </a:graphicData>
            </a:graphic>
          </wp:inline>
        </w:drawing>
      </w:r>
    </w:p>
    <w:p w14:paraId="1124CF3A" w14:textId="3D1934B0" w:rsidR="00347C4D" w:rsidRPr="004B2D03" w:rsidRDefault="00347C4D" w:rsidP="00347C4D">
      <w:pPr>
        <w:jc w:val="center"/>
        <w:rPr>
          <w:b/>
          <w:bCs/>
        </w:rPr>
      </w:pPr>
      <w:r w:rsidRPr="004B2D03">
        <w:rPr>
          <w:b/>
          <w:bCs/>
        </w:rPr>
        <w:t>Fig.</w:t>
      </w:r>
      <w:r w:rsidR="00EA6649">
        <w:rPr>
          <w:b/>
          <w:bCs/>
        </w:rPr>
        <w:t>3</w:t>
      </w:r>
      <w:r w:rsidRPr="004B2D03">
        <w:rPr>
          <w:b/>
          <w:bCs/>
        </w:rPr>
        <w:t xml:space="preserve"> </w:t>
      </w:r>
      <w:r>
        <w:rPr>
          <w:b/>
          <w:bCs/>
        </w:rPr>
        <w:t xml:space="preserve">Proposed changes to table of </w:t>
      </w:r>
      <w:r w:rsidRPr="00F24D3A">
        <w:rPr>
          <w:b/>
          <w:bCs/>
          <w:i/>
          <w:iCs/>
        </w:rPr>
        <w:t>resourceAvailability</w:t>
      </w:r>
      <w:r>
        <w:rPr>
          <w:b/>
          <w:bCs/>
        </w:rPr>
        <w:t xml:space="preserve"> elements defined in TS38.213. </w:t>
      </w:r>
    </w:p>
    <w:p w14:paraId="4D1EBA71" w14:textId="305AB315" w:rsidR="00320975" w:rsidRDefault="00347C4D" w:rsidP="00347C4D">
      <w:pPr>
        <w:pStyle w:val="Heading2"/>
      </w:pPr>
      <w:r>
        <w:lastRenderedPageBreak/>
        <w:t xml:space="preserve">3. </w:t>
      </w:r>
      <w:r w:rsidR="005468B8">
        <w:t xml:space="preserve">Adaptation of </w:t>
      </w:r>
      <w:r w:rsidR="007D71B8">
        <w:t>m</w:t>
      </w:r>
      <w:r w:rsidR="00C91B50">
        <w:t xml:space="preserve">ultiplexing </w:t>
      </w:r>
      <w:r w:rsidR="007D71B8">
        <w:t>o</w:t>
      </w:r>
      <w:r w:rsidR="00C91B50">
        <w:t>peration</w:t>
      </w:r>
    </w:p>
    <w:p w14:paraId="1FC38AC5" w14:textId="3717086E" w:rsidR="00E268F1" w:rsidRDefault="00A85844" w:rsidP="00A85844">
      <w:pPr>
        <w:pStyle w:val="Heading3"/>
      </w:pPr>
      <w:r>
        <w:t xml:space="preserve">3.1 </w:t>
      </w:r>
      <w:r w:rsidR="005468B8">
        <w:t>Signaling for supporting</w:t>
      </w:r>
      <w:r w:rsidR="004F3E3E">
        <w:t xml:space="preserve"> </w:t>
      </w:r>
      <w:r w:rsidR="00BE3BD9">
        <w:t>a</w:t>
      </w:r>
      <w:r w:rsidR="004F3E3E">
        <w:t xml:space="preserve">daptation of </w:t>
      </w:r>
      <w:r w:rsidR="00BE3BD9">
        <w:t>m</w:t>
      </w:r>
      <w:r w:rsidR="004F3E3E">
        <w:t>ultiplexing</w:t>
      </w:r>
      <w:r w:rsidR="00BE3BD9">
        <w:t xml:space="preserve"> operation</w:t>
      </w:r>
      <w:r w:rsidR="004F3E3E">
        <w:t xml:space="preserve"> </w:t>
      </w:r>
    </w:p>
    <w:p w14:paraId="5F209C04" w14:textId="4635F9F8" w:rsidR="005A1656" w:rsidRDefault="005A1656" w:rsidP="005A1656">
      <w:r>
        <w:t>The following agreements have been made in RAN1-10</w:t>
      </w:r>
      <w:r w:rsidR="008E59F6">
        <w:t>5</w:t>
      </w:r>
      <w:r>
        <w:t xml:space="preserve">e [2] </w:t>
      </w:r>
      <w:r w:rsidR="0089122C">
        <w:t xml:space="preserve">to </w:t>
      </w:r>
      <w:r w:rsidR="00EA4565">
        <w:t>facilitate adaptation between multiplexing operation modes</w:t>
      </w:r>
      <w:r w:rsidR="004902D6">
        <w:t>.</w:t>
      </w:r>
    </w:p>
    <w:tbl>
      <w:tblPr>
        <w:tblStyle w:val="TableGrid"/>
        <w:tblW w:w="0" w:type="auto"/>
        <w:tblLook w:val="04A0" w:firstRow="1" w:lastRow="0" w:firstColumn="1" w:lastColumn="0" w:noHBand="0" w:noVBand="1"/>
      </w:tblPr>
      <w:tblGrid>
        <w:gridCol w:w="9629"/>
      </w:tblGrid>
      <w:tr w:rsidR="00340415" w14:paraId="56902E9D" w14:textId="77777777" w:rsidTr="00340415">
        <w:tc>
          <w:tcPr>
            <w:tcW w:w="9629" w:type="dxa"/>
          </w:tcPr>
          <w:p w14:paraId="6F5AD129" w14:textId="41D27A9E" w:rsidR="001B6FF2" w:rsidRPr="00893692" w:rsidRDefault="001B6FF2" w:rsidP="00893692">
            <w:pPr>
              <w:spacing w:after="0"/>
              <w:jc w:val="both"/>
            </w:pPr>
            <w:r w:rsidRPr="007F4DEF">
              <w:rPr>
                <w:highlight w:val="green"/>
              </w:rPr>
              <w:t>Agreement</w:t>
            </w:r>
          </w:p>
          <w:p w14:paraId="1D825E69" w14:textId="77777777" w:rsidR="00751A9B" w:rsidRPr="00751A9B" w:rsidRDefault="00751A9B" w:rsidP="00751A9B">
            <w:pPr>
              <w:spacing w:after="0"/>
              <w:jc w:val="both"/>
              <w:rPr>
                <w:lang w:val="en-US"/>
              </w:rPr>
            </w:pPr>
            <w:r w:rsidRPr="00751A9B">
              <w:t>The parent IAB-node is dynamically provided with conditions/parameters to facilitate adaptation between multiplexing operation modes:</w:t>
            </w:r>
          </w:p>
          <w:p w14:paraId="2D6CAC2D" w14:textId="77777777" w:rsidR="00751A9B" w:rsidRPr="00751A9B" w:rsidRDefault="00751A9B" w:rsidP="00BE3BD9">
            <w:pPr>
              <w:numPr>
                <w:ilvl w:val="0"/>
                <w:numId w:val="2"/>
              </w:numPr>
              <w:spacing w:after="0"/>
              <w:jc w:val="both"/>
              <w:rPr>
                <w:lang w:val="en-US"/>
              </w:rPr>
            </w:pPr>
            <w:r w:rsidRPr="00751A9B">
              <w:t>FFS: Required number of guard symbols for switching of multiplexing mode (FFS: per timing mode or per multiplexing mode) for IAB-DU</w:t>
            </w:r>
          </w:p>
          <w:p w14:paraId="3D15FF82" w14:textId="77777777" w:rsidR="00751A9B" w:rsidRPr="00751A9B" w:rsidRDefault="00751A9B" w:rsidP="00BE3BD9">
            <w:pPr>
              <w:numPr>
                <w:ilvl w:val="0"/>
                <w:numId w:val="2"/>
              </w:numPr>
              <w:spacing w:after="0"/>
              <w:jc w:val="both"/>
              <w:rPr>
                <w:lang w:val="en-US"/>
              </w:rPr>
            </w:pPr>
            <w:r w:rsidRPr="00751A9B">
              <w:t>FFS: Signalling procedure</w:t>
            </w:r>
          </w:p>
          <w:p w14:paraId="5D227F44" w14:textId="77777777" w:rsidR="00893692" w:rsidRPr="00893692" w:rsidRDefault="00751A9B" w:rsidP="00BE3BD9">
            <w:pPr>
              <w:numPr>
                <w:ilvl w:val="0"/>
                <w:numId w:val="2"/>
              </w:numPr>
              <w:spacing w:after="0"/>
              <w:jc w:val="both"/>
              <w:rPr>
                <w:lang w:val="en-US"/>
              </w:rPr>
            </w:pPr>
            <w:r w:rsidRPr="00751A9B">
              <w:t>FFS: Required guard band for FDM</w:t>
            </w:r>
          </w:p>
          <w:p w14:paraId="2BB1943A" w14:textId="2061A5CD" w:rsidR="001B6FF2" w:rsidRPr="00893692" w:rsidRDefault="00751A9B" w:rsidP="00BE3BD9">
            <w:pPr>
              <w:numPr>
                <w:ilvl w:val="0"/>
                <w:numId w:val="2"/>
              </w:numPr>
              <w:spacing w:after="0"/>
              <w:jc w:val="both"/>
              <w:rPr>
                <w:lang w:val="en-US"/>
              </w:rPr>
            </w:pPr>
            <w:r w:rsidRPr="00751A9B">
              <w:t>FFS: other conditions, e.g. required timing mode, required power control parameters, and preferred TCI.</w:t>
            </w:r>
          </w:p>
        </w:tc>
      </w:tr>
    </w:tbl>
    <w:p w14:paraId="24A30959" w14:textId="3B0657CB" w:rsidR="008A01A5" w:rsidRDefault="008A01A5" w:rsidP="00F51DD9">
      <w:pPr>
        <w:spacing w:before="120"/>
      </w:pPr>
      <w:r>
        <w:t>In</w:t>
      </w:r>
      <w:r w:rsidR="00F51DD9">
        <w:t xml:space="preserve"> </w:t>
      </w:r>
      <w:r w:rsidR="00927979">
        <w:t xml:space="preserve">Section2, we have discussed support of </w:t>
      </w:r>
      <w:r w:rsidR="005C036F">
        <w:t>FDM for simultaneous multiplexing at an IAB</w:t>
      </w:r>
      <w:r w:rsidR="00D01A48">
        <w:t xml:space="preserve">-node. But FDM may or may not be required for a simultaneous </w:t>
      </w:r>
      <w:r w:rsidR="0024447B">
        <w:t xml:space="preserve">multiplexing </w:t>
      </w:r>
      <w:r w:rsidR="00D01A48">
        <w:t>operation</w:t>
      </w:r>
      <w:r w:rsidR="009E1E31">
        <w:t xml:space="preserve"> depending on implementation and environment</w:t>
      </w:r>
      <w:r w:rsidR="00AF72A8">
        <w:t xml:space="preserve">, </w:t>
      </w:r>
      <w:r w:rsidR="006B06A1">
        <w:t>e.g. FDM may not be required if IAB-node has separate panels for MT and DU with sufficient isolation. A</w:t>
      </w:r>
      <w:r w:rsidR="00AF72A8">
        <w:t xml:space="preserve">mong </w:t>
      </w:r>
      <w:r w:rsidR="004F5482">
        <w:t>different</w:t>
      </w:r>
      <w:r w:rsidR="00AF72A8">
        <w:t xml:space="preserve"> </w:t>
      </w:r>
      <w:r w:rsidR="004F5482">
        <w:t>simultaneous operation</w:t>
      </w:r>
      <w:r w:rsidR="00A25116">
        <w:t xml:space="preserve"> mode</w:t>
      </w:r>
      <w:r w:rsidR="009F533F">
        <w:t>s</w:t>
      </w:r>
      <w:r w:rsidR="004F5482">
        <w:t xml:space="preserve">: simul-TX </w:t>
      </w:r>
      <w:r w:rsidR="0024447B">
        <w:t>(MT_TX/DU_TX</w:t>
      </w:r>
      <w:r w:rsidR="004F5482">
        <w:t>)</w:t>
      </w:r>
      <w:r w:rsidR="0024447B">
        <w:t>,</w:t>
      </w:r>
      <w:r w:rsidR="004F5482">
        <w:t xml:space="preserve"> simul-RX (MT</w:t>
      </w:r>
      <w:r w:rsidR="009F533F">
        <w:t>_</w:t>
      </w:r>
      <w:r w:rsidR="004F5482">
        <w:t>RX/DU</w:t>
      </w:r>
      <w:r w:rsidR="009F533F">
        <w:t xml:space="preserve">_RX), full-duplex-DL (MT_RX/DU_TX), </w:t>
      </w:r>
      <w:r w:rsidR="00A25116">
        <w:t xml:space="preserve">full-duplex-UL (MT_TX/DU_RX), the FDM may be required for </w:t>
      </w:r>
      <w:r w:rsidR="00237500">
        <w:t xml:space="preserve">some operation modes (e.g. </w:t>
      </w:r>
      <w:r w:rsidR="0032294A">
        <w:t xml:space="preserve">for full-duplex-DL/UL), </w:t>
      </w:r>
      <w:r w:rsidR="00237500">
        <w:t>but not for other operation modes</w:t>
      </w:r>
      <w:r w:rsidR="0032294A">
        <w:t xml:space="preserve"> (e.g. </w:t>
      </w:r>
      <w:r w:rsidR="0002119A">
        <w:t>for simul-TX/RX)</w:t>
      </w:r>
      <w:r w:rsidR="00925AD7">
        <w:t xml:space="preserve">. </w:t>
      </w:r>
      <w:r w:rsidR="009064D8">
        <w:t>As shown in Fig.</w:t>
      </w:r>
      <w:r w:rsidR="0003137F">
        <w:t>4</w:t>
      </w:r>
      <w:r w:rsidR="009064D8">
        <w:t xml:space="preserve">, the optimum </w:t>
      </w:r>
      <w:r w:rsidR="00C86D5F">
        <w:t xml:space="preserve">resource pattern for an IAB-node </w:t>
      </w:r>
      <w:r w:rsidR="007F5C72">
        <w:t>with capability of simultaneous operation depend</w:t>
      </w:r>
      <w:r w:rsidR="004075F0">
        <w:t>s</w:t>
      </w:r>
      <w:r w:rsidR="007F5C72">
        <w:t xml:space="preserve"> on whether FDM is required or not. </w:t>
      </w:r>
      <w:r w:rsidR="0025765C">
        <w:t xml:space="preserve">If FDM is required, it is desirable to split the frequency-domain resources between parent and child nodes; </w:t>
      </w:r>
      <w:r w:rsidR="00B87908">
        <w:t>otherwise</w:t>
      </w:r>
      <w:r w:rsidR="0038654D">
        <w:t xml:space="preserve">, overlapping </w:t>
      </w:r>
      <w:r w:rsidR="00B87908">
        <w:t xml:space="preserve">Hard </w:t>
      </w:r>
      <w:r w:rsidR="0038654D">
        <w:t>frequency-domain resources can be</w:t>
      </w:r>
      <w:r w:rsidR="00B87908">
        <w:t xml:space="preserve"> configured for both parent and child node. </w:t>
      </w:r>
      <w:r w:rsidR="004075F0">
        <w:t xml:space="preserve">With this knowledge of FDM required or not, donor-CU </w:t>
      </w:r>
      <w:r w:rsidR="00256111">
        <w:t xml:space="preserve">can determine more efficient resource pattern for IAB-network. </w:t>
      </w:r>
      <w:r w:rsidR="00B22067">
        <w:t xml:space="preserve">If this information is </w:t>
      </w:r>
      <w:r w:rsidR="0027339C">
        <w:t>known by</w:t>
      </w:r>
      <w:r w:rsidR="0038654D">
        <w:t xml:space="preserve"> </w:t>
      </w:r>
      <w:r w:rsidR="0027339C">
        <w:t xml:space="preserve">parent node, parent node may </w:t>
      </w:r>
      <w:r w:rsidR="007422B9">
        <w:t xml:space="preserve">dynamically determine </w:t>
      </w:r>
      <w:r w:rsidR="0015183A">
        <w:t>allocation of soft resources to child node</w:t>
      </w:r>
      <w:r w:rsidR="00B450D9">
        <w:t xml:space="preserve"> based on whether FDM is required or not, e.g. if FDM is not required</w:t>
      </w:r>
      <w:r w:rsidR="008B72D3">
        <w:t xml:space="preserve">, the parent node can indicate all RB sets in a soft slot to the child node and </w:t>
      </w:r>
      <w:r w:rsidR="00EF46EC">
        <w:t>SDMed with the child node in both time-frequency domain</w:t>
      </w:r>
      <w:r w:rsidR="00017D75">
        <w:t xml:space="preserve">; otherwise if FDM is required, the parent node may indicate a subset of RB sets in a soft slot to the child node and FDMed with the child node. </w:t>
      </w:r>
      <w:r w:rsidR="00EF46EC">
        <w:t xml:space="preserve"> </w:t>
      </w:r>
      <w:r w:rsidR="008B72D3">
        <w:t xml:space="preserve">  </w:t>
      </w:r>
      <w:r w:rsidR="0015183A">
        <w:t xml:space="preserve"> </w:t>
      </w:r>
      <w:r w:rsidR="007F5C72">
        <w:t xml:space="preserve"> </w:t>
      </w:r>
      <w:r w:rsidR="00C86D5F">
        <w:t xml:space="preserve"> </w:t>
      </w:r>
      <w:r w:rsidR="00A25116">
        <w:t xml:space="preserve"> </w:t>
      </w:r>
      <w:r w:rsidR="0024447B">
        <w:t xml:space="preserve"> </w:t>
      </w:r>
      <w:r w:rsidR="00D01A48">
        <w:t xml:space="preserve"> </w:t>
      </w:r>
    </w:p>
    <w:p w14:paraId="59E6493D" w14:textId="3D35CFAD" w:rsidR="003D37CA" w:rsidRDefault="00866935" w:rsidP="004554C3">
      <w:pPr>
        <w:jc w:val="both"/>
        <w:rPr>
          <w:b/>
          <w:bCs/>
          <w:u w:val="single"/>
        </w:rPr>
      </w:pPr>
      <w:r w:rsidRPr="00866935">
        <w:rPr>
          <w:b/>
          <w:bCs/>
          <w:u w:val="single"/>
        </w:rPr>
        <w:t>Observation 3.1</w:t>
      </w:r>
      <w:r>
        <w:rPr>
          <w:b/>
          <w:bCs/>
          <w:u w:val="single"/>
        </w:rPr>
        <w:t>:</w:t>
      </w:r>
    </w:p>
    <w:p w14:paraId="546CE54E" w14:textId="11C169F5" w:rsidR="00866935" w:rsidRDefault="00C5015B" w:rsidP="004554C3">
      <w:pPr>
        <w:jc w:val="both"/>
        <w:rPr>
          <w:b/>
          <w:bCs/>
        </w:rPr>
      </w:pPr>
      <w:r>
        <w:rPr>
          <w:b/>
          <w:bCs/>
        </w:rPr>
        <w:t>For a supported simultaneous operation mode</w:t>
      </w:r>
      <w:r w:rsidR="004B59CF">
        <w:rPr>
          <w:b/>
          <w:bCs/>
        </w:rPr>
        <w:t xml:space="preserve"> at an IAB-node</w:t>
      </w:r>
      <w:r>
        <w:rPr>
          <w:b/>
          <w:bCs/>
        </w:rPr>
        <w:t xml:space="preserve">, </w:t>
      </w:r>
      <w:r w:rsidR="000A5B05">
        <w:rPr>
          <w:b/>
          <w:bCs/>
        </w:rPr>
        <w:t>the</w:t>
      </w:r>
      <w:r w:rsidR="00C521CC">
        <w:rPr>
          <w:b/>
          <w:bCs/>
        </w:rPr>
        <w:t xml:space="preserve"> assistant</w:t>
      </w:r>
      <w:r w:rsidR="000A5B05">
        <w:rPr>
          <w:b/>
          <w:bCs/>
        </w:rPr>
        <w:t xml:space="preserve"> information on whether</w:t>
      </w:r>
      <w:r>
        <w:rPr>
          <w:b/>
          <w:bCs/>
        </w:rPr>
        <w:t xml:space="preserve"> FDM is required or not</w:t>
      </w:r>
      <w:r w:rsidR="004B59CF">
        <w:rPr>
          <w:b/>
          <w:bCs/>
        </w:rPr>
        <w:t xml:space="preserve"> </w:t>
      </w:r>
      <w:r w:rsidR="00F5392C">
        <w:rPr>
          <w:b/>
          <w:bCs/>
        </w:rPr>
        <w:t xml:space="preserve">can be beneficial </w:t>
      </w:r>
    </w:p>
    <w:p w14:paraId="5A46B48A" w14:textId="69F23C1D" w:rsidR="00E45E37" w:rsidRDefault="00F5392C" w:rsidP="00C5015B">
      <w:pPr>
        <w:pStyle w:val="ListParagraph"/>
        <w:numPr>
          <w:ilvl w:val="0"/>
          <w:numId w:val="1"/>
        </w:numPr>
        <w:jc w:val="both"/>
        <w:rPr>
          <w:b/>
          <w:bCs/>
        </w:rPr>
      </w:pPr>
      <w:r>
        <w:rPr>
          <w:b/>
          <w:bCs/>
        </w:rPr>
        <w:t xml:space="preserve">for </w:t>
      </w:r>
      <w:r w:rsidR="002F6D32">
        <w:rPr>
          <w:b/>
          <w:bCs/>
        </w:rPr>
        <w:t xml:space="preserve">the donor-DU </w:t>
      </w:r>
      <w:r>
        <w:rPr>
          <w:b/>
          <w:bCs/>
        </w:rPr>
        <w:t>to</w:t>
      </w:r>
      <w:r w:rsidR="002F6D32">
        <w:rPr>
          <w:b/>
          <w:bCs/>
        </w:rPr>
        <w:t xml:space="preserve"> </w:t>
      </w:r>
      <w:r w:rsidR="00E45E37">
        <w:rPr>
          <w:b/>
          <w:bCs/>
        </w:rPr>
        <w:t>determine</w:t>
      </w:r>
      <w:r w:rsidR="002F6D32">
        <w:rPr>
          <w:b/>
          <w:bCs/>
        </w:rPr>
        <w:t xml:space="preserve"> more efficient </w:t>
      </w:r>
      <w:r w:rsidR="00E45E37">
        <w:rPr>
          <w:b/>
          <w:bCs/>
        </w:rPr>
        <w:t xml:space="preserve">H/S/NA </w:t>
      </w:r>
      <w:r w:rsidR="002F6D32">
        <w:rPr>
          <w:b/>
          <w:bCs/>
        </w:rPr>
        <w:t>resource pattern</w:t>
      </w:r>
      <w:r>
        <w:rPr>
          <w:b/>
          <w:bCs/>
        </w:rPr>
        <w:t>,</w:t>
      </w:r>
    </w:p>
    <w:p w14:paraId="476A5A33" w14:textId="0423DC7C" w:rsidR="00C5015B" w:rsidRPr="00C5015B" w:rsidRDefault="00F5392C" w:rsidP="00C5015B">
      <w:pPr>
        <w:pStyle w:val="ListParagraph"/>
        <w:numPr>
          <w:ilvl w:val="0"/>
          <w:numId w:val="1"/>
        </w:numPr>
        <w:jc w:val="both"/>
        <w:rPr>
          <w:b/>
          <w:bCs/>
        </w:rPr>
      </w:pPr>
      <w:r>
        <w:rPr>
          <w:b/>
          <w:bCs/>
        </w:rPr>
        <w:t xml:space="preserve">for </w:t>
      </w:r>
      <w:r w:rsidR="00E45E37">
        <w:rPr>
          <w:b/>
          <w:bCs/>
        </w:rPr>
        <w:t>the parent node</w:t>
      </w:r>
      <w:r>
        <w:rPr>
          <w:b/>
          <w:bCs/>
        </w:rPr>
        <w:t xml:space="preserve"> to </w:t>
      </w:r>
      <w:r w:rsidR="00CC12B4">
        <w:rPr>
          <w:b/>
          <w:bCs/>
        </w:rPr>
        <w:t>make</w:t>
      </w:r>
      <w:r>
        <w:rPr>
          <w:b/>
          <w:bCs/>
        </w:rPr>
        <w:t xml:space="preserve"> more </w:t>
      </w:r>
      <w:r w:rsidR="00810E23">
        <w:rPr>
          <w:b/>
          <w:bCs/>
        </w:rPr>
        <w:t>optimized</w:t>
      </w:r>
      <w:r w:rsidR="00CC12B4">
        <w:rPr>
          <w:b/>
          <w:bCs/>
        </w:rPr>
        <w:t xml:space="preserve"> decision</w:t>
      </w:r>
      <w:r w:rsidR="00E222FF">
        <w:rPr>
          <w:b/>
          <w:bCs/>
        </w:rPr>
        <w:t xml:space="preserve"> on coordinating soft resources with its child node.  </w:t>
      </w:r>
      <w:r w:rsidR="00CC12B4">
        <w:rPr>
          <w:b/>
          <w:bCs/>
        </w:rPr>
        <w:t xml:space="preserve"> </w:t>
      </w:r>
      <w:r>
        <w:rPr>
          <w:b/>
          <w:bCs/>
        </w:rPr>
        <w:t xml:space="preserve"> </w:t>
      </w:r>
      <w:r w:rsidR="00F74C0D">
        <w:rPr>
          <w:b/>
          <w:bCs/>
        </w:rPr>
        <w:t xml:space="preserve"> </w:t>
      </w:r>
      <w:r w:rsidR="00E45E37">
        <w:rPr>
          <w:b/>
          <w:bCs/>
        </w:rPr>
        <w:t xml:space="preserve"> </w:t>
      </w:r>
      <w:r w:rsidR="002F6D32">
        <w:rPr>
          <w:b/>
          <w:bCs/>
        </w:rPr>
        <w:t xml:space="preserve"> </w:t>
      </w:r>
    </w:p>
    <w:p w14:paraId="764B743B" w14:textId="3BE86AC2" w:rsidR="009A28C3" w:rsidRDefault="002B0AB4" w:rsidP="009A28C3">
      <w:pPr>
        <w:jc w:val="center"/>
      </w:pPr>
      <w:r>
        <w:rPr>
          <w:noProof/>
        </w:rPr>
        <w:drawing>
          <wp:inline distT="0" distB="0" distL="0" distR="0" wp14:anchorId="03EFCB26" wp14:editId="6361D9AB">
            <wp:extent cx="5718810" cy="14389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810" cy="1438910"/>
                    </a:xfrm>
                    <a:prstGeom prst="rect">
                      <a:avLst/>
                    </a:prstGeom>
                    <a:noFill/>
                  </pic:spPr>
                </pic:pic>
              </a:graphicData>
            </a:graphic>
          </wp:inline>
        </w:drawing>
      </w:r>
    </w:p>
    <w:p w14:paraId="564A6DF0" w14:textId="52B0D1F4" w:rsidR="009A28C3" w:rsidRPr="009A28C3" w:rsidRDefault="009A28C3" w:rsidP="009A28C3">
      <w:pPr>
        <w:jc w:val="center"/>
        <w:rPr>
          <w:b/>
          <w:bCs/>
        </w:rPr>
      </w:pPr>
      <w:r w:rsidRPr="009A28C3">
        <w:rPr>
          <w:b/>
          <w:bCs/>
        </w:rPr>
        <w:t>Fig.</w:t>
      </w:r>
      <w:r w:rsidR="0003137F">
        <w:rPr>
          <w:b/>
          <w:bCs/>
        </w:rPr>
        <w:t>4</w:t>
      </w:r>
      <w:r w:rsidRPr="009A28C3">
        <w:rPr>
          <w:b/>
          <w:bCs/>
        </w:rPr>
        <w:t xml:space="preserve"> </w:t>
      </w:r>
      <w:r w:rsidR="00AE64FB">
        <w:rPr>
          <w:b/>
          <w:bCs/>
        </w:rPr>
        <w:t xml:space="preserve">Supporting </w:t>
      </w:r>
      <w:r w:rsidR="008A01A5">
        <w:rPr>
          <w:b/>
          <w:bCs/>
        </w:rPr>
        <w:t>indication</w:t>
      </w:r>
      <w:r w:rsidR="00004EE9">
        <w:rPr>
          <w:b/>
          <w:bCs/>
        </w:rPr>
        <w:t xml:space="preserve"> of FDM required or not to donor-CU and/or parent node.</w:t>
      </w:r>
    </w:p>
    <w:p w14:paraId="74D34BE2" w14:textId="523EE4E4" w:rsidR="00737396" w:rsidRDefault="00737396" w:rsidP="00737396">
      <w:pPr>
        <w:jc w:val="both"/>
        <w:rPr>
          <w:b/>
          <w:bCs/>
        </w:rPr>
      </w:pPr>
      <w:r>
        <w:rPr>
          <w:b/>
          <w:bCs/>
          <w:u w:val="single"/>
        </w:rPr>
        <w:t>Proposal</w:t>
      </w:r>
      <w:r w:rsidRPr="00B41255">
        <w:rPr>
          <w:b/>
          <w:bCs/>
          <w:u w:val="single"/>
        </w:rPr>
        <w:t xml:space="preserve"> </w:t>
      </w:r>
      <w:r>
        <w:rPr>
          <w:b/>
          <w:bCs/>
          <w:u w:val="single"/>
        </w:rPr>
        <w:t>3.1</w:t>
      </w:r>
      <w:r w:rsidRPr="00B41255">
        <w:rPr>
          <w:b/>
          <w:bCs/>
          <w:u w:val="single"/>
        </w:rPr>
        <w:t>:</w:t>
      </w:r>
      <w:r w:rsidRPr="00F41176">
        <w:rPr>
          <w:b/>
          <w:bCs/>
        </w:rPr>
        <w:t xml:space="preserve"> </w:t>
      </w:r>
    </w:p>
    <w:p w14:paraId="52F0046C" w14:textId="017667C2" w:rsidR="004554C3" w:rsidRDefault="004554C3" w:rsidP="0071495E">
      <w:pPr>
        <w:spacing w:after="0"/>
        <w:jc w:val="both"/>
        <w:rPr>
          <w:b/>
          <w:bCs/>
        </w:rPr>
      </w:pPr>
      <w:r w:rsidRPr="004554C3">
        <w:rPr>
          <w:b/>
          <w:bCs/>
        </w:rPr>
        <w:t xml:space="preserve">Support </w:t>
      </w:r>
      <w:r w:rsidR="00531482">
        <w:rPr>
          <w:b/>
          <w:bCs/>
        </w:rPr>
        <w:t xml:space="preserve">indication of </w:t>
      </w:r>
      <w:r w:rsidR="00E222FF">
        <w:rPr>
          <w:b/>
          <w:bCs/>
        </w:rPr>
        <w:t xml:space="preserve">whether FDM is required or not for a </w:t>
      </w:r>
      <w:r w:rsidR="00531482">
        <w:rPr>
          <w:b/>
          <w:bCs/>
        </w:rPr>
        <w:t>simultaneous operation mode</w:t>
      </w:r>
      <w:r w:rsidR="0011522C">
        <w:rPr>
          <w:b/>
          <w:bCs/>
        </w:rPr>
        <w:t xml:space="preserve"> to donor-CU and/or parent node</w:t>
      </w:r>
      <w:r w:rsidRPr="0071495E">
        <w:rPr>
          <w:b/>
          <w:bCs/>
        </w:rPr>
        <w:t>.</w:t>
      </w:r>
    </w:p>
    <w:p w14:paraId="40F6305C" w14:textId="10300DD0" w:rsidR="0071495E" w:rsidRDefault="0071495E" w:rsidP="0071495E">
      <w:pPr>
        <w:spacing w:after="0"/>
        <w:jc w:val="both"/>
        <w:rPr>
          <w:b/>
          <w:bCs/>
        </w:rPr>
      </w:pPr>
    </w:p>
    <w:p w14:paraId="2ADECA2D" w14:textId="522130C3" w:rsidR="00381D85" w:rsidRDefault="0004364B" w:rsidP="0071495E">
      <w:pPr>
        <w:spacing w:after="0"/>
        <w:jc w:val="both"/>
      </w:pPr>
      <w:r>
        <w:t xml:space="preserve">In section2, we </w:t>
      </w:r>
      <w:r w:rsidR="009D1C85">
        <w:t xml:space="preserve">discussed use of Rel-17 frequency-domain H/S/NA configuration to override Rel-16 time-domain configuration completely or partially. This </w:t>
      </w:r>
      <w:r w:rsidR="00FD3DC8">
        <w:t xml:space="preserve">overridden can be done semi-statically and/or dynamically. Since the simultaneous multiplexing capability </w:t>
      </w:r>
      <w:r w:rsidR="00121DF3">
        <w:t xml:space="preserve">can be conditional and dynamic in nature, </w:t>
      </w:r>
      <w:r w:rsidR="00EB009D">
        <w:t xml:space="preserve">the optimum resource pattern </w:t>
      </w:r>
      <w:r w:rsidR="00792642">
        <w:t xml:space="preserve">may </w:t>
      </w:r>
      <w:r w:rsidR="009E3476">
        <w:t xml:space="preserve">depend on the applicable simultaneous operation modes. </w:t>
      </w:r>
      <w:r w:rsidR="005C4284">
        <w:t xml:space="preserve">In previous RAN1 meetings, it has been agreed to provide both Rel-16 time-domain </w:t>
      </w:r>
      <w:r w:rsidR="0085478C">
        <w:t xml:space="preserve">resource configuration and Rel-17 frequency-domain resource configuration </w:t>
      </w:r>
      <w:r w:rsidR="00D45AFB">
        <w:t>to an IAB-node with capability of one or more simultaneous multiplexing operation</w:t>
      </w:r>
      <w:r w:rsidR="006F1E2C">
        <w:t xml:space="preserve"> modes. </w:t>
      </w:r>
      <w:r w:rsidR="00E97507">
        <w:t>Based on the reported capability</w:t>
      </w:r>
      <w:r w:rsidR="00F9454F">
        <w:t xml:space="preserve">, the donor-CU may </w:t>
      </w:r>
      <w:r w:rsidR="00F9454F">
        <w:lastRenderedPageBreak/>
        <w:t>determine optimized resource pattern</w:t>
      </w:r>
      <w:r w:rsidR="00FB05C4">
        <w:t>s</w:t>
      </w:r>
      <w:r w:rsidR="00F9454F">
        <w:t xml:space="preserve"> </w:t>
      </w:r>
      <w:r w:rsidR="00151F73">
        <w:t>in Rel-17 frequency-domain resource configurations</w:t>
      </w:r>
      <w:r w:rsidR="00FB05C4">
        <w:t xml:space="preserve"> for the IAB-node and its parent</w:t>
      </w:r>
      <w:r w:rsidR="00151F73">
        <w:t xml:space="preserve">. </w:t>
      </w:r>
      <w:r w:rsidR="00FB05C4">
        <w:t xml:space="preserve">But </w:t>
      </w:r>
      <w:r w:rsidR="00A67757">
        <w:t>due to</w:t>
      </w:r>
      <w:r w:rsidR="001048D2">
        <w:t xml:space="preserve"> changing of environment or the required conditions </w:t>
      </w:r>
      <w:r w:rsidR="00451BD9">
        <w:t>may</w:t>
      </w:r>
      <w:r w:rsidR="00AC47A2">
        <w:t xml:space="preserve"> not</w:t>
      </w:r>
      <w:r w:rsidR="00DB3398">
        <w:t xml:space="preserve"> be met</w:t>
      </w:r>
      <w:r w:rsidR="00A67757">
        <w:t xml:space="preserve">, </w:t>
      </w:r>
      <w:r w:rsidR="00DD4D00">
        <w:t>one or more of the reported simultaneous operation modes may not be applicable for some tim</w:t>
      </w:r>
      <w:r w:rsidR="003C7749">
        <w:t>e</w:t>
      </w:r>
      <w:r w:rsidR="00F16648">
        <w:t>.</w:t>
      </w:r>
      <w:r w:rsidR="006A4EE7">
        <w:t xml:space="preserve"> </w:t>
      </w:r>
      <w:r w:rsidR="00F16648">
        <w:t>During this period of time, for</w:t>
      </w:r>
      <w:r w:rsidR="001608C6">
        <w:t xml:space="preserve"> </w:t>
      </w:r>
      <w:r w:rsidR="000B04C1">
        <w:t>the</w:t>
      </w:r>
      <w:r w:rsidR="00B61BE2">
        <w:t xml:space="preserve"> subset of time resources </w:t>
      </w:r>
      <w:r w:rsidR="008220FA">
        <w:t xml:space="preserve">where the </w:t>
      </w:r>
      <w:r w:rsidR="00A03C2A">
        <w:t xml:space="preserve">non-applicable </w:t>
      </w:r>
      <w:r w:rsidR="008220FA">
        <w:t xml:space="preserve">simultaneous operation </w:t>
      </w:r>
      <w:r w:rsidR="00A03C2A">
        <w:t xml:space="preserve">mode(s) </w:t>
      </w:r>
      <w:r w:rsidR="008220FA">
        <w:t>is</w:t>
      </w:r>
      <w:r w:rsidR="00A03C2A">
        <w:t xml:space="preserve"> intended for</w:t>
      </w:r>
      <w:r w:rsidR="002D421E">
        <w:t xml:space="preserve"> </w:t>
      </w:r>
      <w:r w:rsidR="003B3710">
        <w:t>based on</w:t>
      </w:r>
      <w:r w:rsidR="006D49FB">
        <w:t xml:space="preserve"> the Rel-17 frequency-domain configuration</w:t>
      </w:r>
      <w:r w:rsidR="00405AD5">
        <w:t xml:space="preserve">, </w:t>
      </w:r>
      <w:r w:rsidR="00171D6C">
        <w:t>it can be desirable to fall back to Rel-16 configuration on this subset of time resources.</w:t>
      </w:r>
      <w:r w:rsidR="00263C69">
        <w:t xml:space="preserve"> </w:t>
      </w:r>
      <w:r w:rsidR="00792642">
        <w:t>In Fig.</w:t>
      </w:r>
      <w:r w:rsidR="0003137F">
        <w:t>5</w:t>
      </w:r>
      <w:r w:rsidR="00792642">
        <w:t xml:space="preserve">, we showed an example </w:t>
      </w:r>
      <w:r w:rsidR="00076EF0">
        <w:t xml:space="preserve">of dynamic </w:t>
      </w:r>
      <w:r w:rsidR="00D31D01">
        <w:t xml:space="preserve">adaptation of resource pattern via </w:t>
      </w:r>
      <w:r w:rsidR="00F16D21">
        <w:t xml:space="preserve">falling back </w:t>
      </w:r>
      <w:r w:rsidR="00BE5749">
        <w:t xml:space="preserve">to Rel-16 configuration on </w:t>
      </w:r>
      <w:r w:rsidR="00B24F5C">
        <w:t>the set of</w:t>
      </w:r>
      <w:r w:rsidR="00BE5749">
        <w:t xml:space="preserve"> time resources</w:t>
      </w:r>
      <w:r w:rsidR="00B24F5C">
        <w:t xml:space="preserve"> where the reported simultaneous operation is not applicable. </w:t>
      </w:r>
      <w:r w:rsidR="007B4AD8">
        <w:t xml:space="preserve">In other words, the Rel-17 frequency-domain configuration </w:t>
      </w:r>
      <w:r w:rsidR="00EB5A04">
        <w:t xml:space="preserve">dynamically override the Rel-16 time-domain configuration on </w:t>
      </w:r>
      <w:r w:rsidR="00331962">
        <w:t>selected</w:t>
      </w:r>
      <w:r w:rsidR="00EB5A04">
        <w:t xml:space="preserve"> time resources </w:t>
      </w:r>
      <w:r w:rsidR="00331962">
        <w:t>based on</w:t>
      </w:r>
      <w:r w:rsidR="003C720F">
        <w:t xml:space="preserve"> applicable</w:t>
      </w:r>
      <w:r w:rsidR="00331962">
        <w:t xml:space="preserve"> </w:t>
      </w:r>
      <w:r w:rsidR="007E5D11">
        <w:t xml:space="preserve">simultaneous operation mode(s). In </w:t>
      </w:r>
      <w:r w:rsidR="00A86F0E">
        <w:t xml:space="preserve">the </w:t>
      </w:r>
      <w:r w:rsidR="007E5D11">
        <w:t xml:space="preserve">extreme case, if none of reported </w:t>
      </w:r>
      <w:r w:rsidR="00A86F0E">
        <w:t xml:space="preserve">simultaneous operation modes are applicable, </w:t>
      </w:r>
      <w:r w:rsidR="00120513">
        <w:t>the resource configuration</w:t>
      </w:r>
      <w:r w:rsidR="00A86F0E">
        <w:t xml:space="preserve"> completely falls back to Rel-16 configuration. </w:t>
      </w:r>
      <w:r w:rsidR="009B6E13">
        <w:t>Note that</w:t>
      </w:r>
      <w:r w:rsidR="0046792F">
        <w:t xml:space="preserve"> </w:t>
      </w:r>
      <w:r w:rsidR="00AD00F6">
        <w:t xml:space="preserve">the </w:t>
      </w:r>
      <w:r w:rsidR="0033336D">
        <w:t xml:space="preserve">parent </w:t>
      </w:r>
      <w:r w:rsidR="0046792F">
        <w:t xml:space="preserve">node shall </w:t>
      </w:r>
      <w:r w:rsidR="00567BD1">
        <w:t xml:space="preserve">also be </w:t>
      </w:r>
      <w:r w:rsidR="009B6E13">
        <w:t xml:space="preserve">made </w:t>
      </w:r>
      <w:r w:rsidR="0046792F">
        <w:t xml:space="preserve">aware of </w:t>
      </w:r>
      <w:r w:rsidR="001D7FE8">
        <w:t>applicability of simultaneous operation mode</w:t>
      </w:r>
      <w:r w:rsidR="001669D3">
        <w:t>s</w:t>
      </w:r>
      <w:r w:rsidR="00347941">
        <w:t xml:space="preserve"> </w:t>
      </w:r>
      <w:r w:rsidR="001A196B">
        <w:t xml:space="preserve">at the IAB-node </w:t>
      </w:r>
      <w:r w:rsidR="009B6E13">
        <w:t>to</w:t>
      </w:r>
      <w:r w:rsidR="008A45C2">
        <w:t xml:space="preserve"> </w:t>
      </w:r>
      <w:r w:rsidR="009B6E13">
        <w:t>determine</w:t>
      </w:r>
      <w:r w:rsidR="008A45C2">
        <w:t xml:space="preserve"> </w:t>
      </w:r>
      <w:r w:rsidR="009F7D1D">
        <w:t xml:space="preserve">its own </w:t>
      </w:r>
      <w:r w:rsidR="008A45C2">
        <w:t>proper resource patterns</w:t>
      </w:r>
      <w:r w:rsidR="009F7D1D">
        <w:t xml:space="preserve"> and </w:t>
      </w:r>
      <w:r w:rsidR="00A32D88">
        <w:t>the resulting child’s resource patterns</w:t>
      </w:r>
      <w:r w:rsidR="00BF212F">
        <w:t xml:space="preserve">, </w:t>
      </w:r>
      <w:r w:rsidR="00A32D88">
        <w:t xml:space="preserve">a </w:t>
      </w:r>
      <w:r w:rsidR="00BD776C">
        <w:t>dynamic</w:t>
      </w:r>
      <w:r w:rsidR="00BF212F">
        <w:t xml:space="preserve"> indication of </w:t>
      </w:r>
      <w:r w:rsidR="00A32D88">
        <w:t xml:space="preserve">such </w:t>
      </w:r>
      <w:r w:rsidR="00BD776C">
        <w:t>applicab</w:t>
      </w:r>
      <w:r w:rsidR="00362D0C">
        <w:t xml:space="preserve">ility </w:t>
      </w:r>
      <w:r w:rsidR="008B323E">
        <w:t>shall be supported by the IAB-node to its parent node.</w:t>
      </w:r>
      <w:r w:rsidR="00362D0C">
        <w:t xml:space="preserve"> </w:t>
      </w:r>
    </w:p>
    <w:p w14:paraId="2F41C99E" w14:textId="77777777" w:rsidR="00381D85" w:rsidRDefault="00381D85" w:rsidP="0071495E">
      <w:pPr>
        <w:spacing w:after="0"/>
        <w:jc w:val="both"/>
      </w:pPr>
    </w:p>
    <w:p w14:paraId="5BE50DE8" w14:textId="2C99B5CC" w:rsidR="0046792F" w:rsidRDefault="00BE6486" w:rsidP="0071495E">
      <w:pPr>
        <w:spacing w:after="0"/>
        <w:jc w:val="both"/>
      </w:pPr>
      <w:r>
        <w:t>Note that in 8.10.2 there are discussion</w:t>
      </w:r>
      <w:r w:rsidR="00AF77C2">
        <w:t>s</w:t>
      </w:r>
      <w:r>
        <w:t xml:space="preserve"> on how to </w:t>
      </w:r>
      <w:r w:rsidR="00F03488">
        <w:t>indicate</w:t>
      </w:r>
      <w:r w:rsidR="0030642F">
        <w:t xml:space="preserve"> </w:t>
      </w:r>
      <w:r w:rsidR="00527896">
        <w:t xml:space="preserve">required </w:t>
      </w:r>
      <w:r w:rsidR="00F03488">
        <w:t>conditions</w:t>
      </w:r>
      <w:r w:rsidR="0030642F">
        <w:t xml:space="preserve"> for a multiplexing operation mode, e.g. timing, power control etc.</w:t>
      </w:r>
      <w:r w:rsidR="00F03488">
        <w:t xml:space="preserve"> from an IAB-node to its parent node</w:t>
      </w:r>
      <w:r w:rsidR="00895CC7">
        <w:t>.</w:t>
      </w:r>
      <w:r w:rsidR="0032264A">
        <w:t xml:space="preserve"> </w:t>
      </w:r>
      <w:r w:rsidR="00EF0044">
        <w:t xml:space="preserve">The </w:t>
      </w:r>
      <w:r w:rsidR="00F56213">
        <w:t xml:space="preserve">signaling for </w:t>
      </w:r>
      <w:r w:rsidR="00895CC7">
        <w:t>indication</w:t>
      </w:r>
      <w:r w:rsidR="00EF0044">
        <w:t xml:space="preserve"> </w:t>
      </w:r>
      <w:r w:rsidR="00895CC7">
        <w:t>of</w:t>
      </w:r>
      <w:r w:rsidR="00EF0044">
        <w:t xml:space="preserve"> applicability of simultaneous</w:t>
      </w:r>
      <w:r w:rsidR="005C108C">
        <w:t xml:space="preserve"> </w:t>
      </w:r>
      <w:r w:rsidR="00A84560">
        <w:t xml:space="preserve">operation modes can be designed in a unified framework together with </w:t>
      </w:r>
      <w:r w:rsidR="001B4047">
        <w:t>indication of required conditions</w:t>
      </w:r>
      <w:r w:rsidR="00157C13">
        <w:t xml:space="preserve">, where one of indicated fields is </w:t>
      </w:r>
      <w:r w:rsidR="00F56213">
        <w:t>to indicate</w:t>
      </w:r>
      <w:r w:rsidR="00157C13">
        <w:t xml:space="preserve"> applicability of </w:t>
      </w:r>
      <w:r w:rsidR="0048481F">
        <w:t xml:space="preserve">simultaneous operation mode. </w:t>
      </w:r>
      <w:r w:rsidR="00EF0044">
        <w:t xml:space="preserve"> </w:t>
      </w:r>
      <w:r w:rsidR="00E7698E">
        <w:t xml:space="preserve"> </w:t>
      </w:r>
      <w:r w:rsidR="00CD3375">
        <w:t xml:space="preserve"> </w:t>
      </w:r>
      <w:r w:rsidR="00381D85">
        <w:t xml:space="preserve"> </w:t>
      </w:r>
      <w:r w:rsidR="008E43A3">
        <w:t xml:space="preserve"> </w:t>
      </w:r>
      <w:r w:rsidR="00A26B5B">
        <w:t xml:space="preserve"> </w:t>
      </w:r>
      <w:r w:rsidR="00F03488">
        <w:t xml:space="preserve">  </w:t>
      </w:r>
      <w:r w:rsidR="00362D0C">
        <w:t xml:space="preserve"> </w:t>
      </w:r>
      <w:r w:rsidR="00347941">
        <w:t xml:space="preserve"> </w:t>
      </w:r>
    </w:p>
    <w:p w14:paraId="0000A52C" w14:textId="4AE204F5" w:rsidR="00EB009D" w:rsidRDefault="003C720F" w:rsidP="0071495E">
      <w:pPr>
        <w:spacing w:after="0"/>
        <w:jc w:val="both"/>
      </w:pPr>
      <w:r>
        <w:t xml:space="preserve">  </w:t>
      </w:r>
      <w:r w:rsidR="00FD6163">
        <w:t xml:space="preserve"> </w:t>
      </w:r>
      <w:r w:rsidR="007B4AD8">
        <w:t xml:space="preserve"> </w:t>
      </w:r>
      <w:r w:rsidR="00BE5749">
        <w:t xml:space="preserve"> </w:t>
      </w:r>
      <w:r w:rsidR="00CA208E">
        <w:t xml:space="preserve">  </w:t>
      </w:r>
    </w:p>
    <w:p w14:paraId="4A4547E6" w14:textId="5273AC3B" w:rsidR="002F7205" w:rsidRDefault="00412337" w:rsidP="00412337">
      <w:pPr>
        <w:spacing w:after="0"/>
        <w:jc w:val="center"/>
        <w:rPr>
          <w:b/>
          <w:bCs/>
          <w:u w:val="single"/>
        </w:rPr>
      </w:pPr>
      <w:r>
        <w:rPr>
          <w:b/>
          <w:bCs/>
          <w:noProof/>
          <w:u w:val="single"/>
        </w:rPr>
        <w:drawing>
          <wp:inline distT="0" distB="0" distL="0" distR="0" wp14:anchorId="73DD38BD" wp14:editId="05561516">
            <wp:extent cx="6033312" cy="202841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59058" cy="2037066"/>
                    </a:xfrm>
                    <a:prstGeom prst="rect">
                      <a:avLst/>
                    </a:prstGeom>
                    <a:noFill/>
                  </pic:spPr>
                </pic:pic>
              </a:graphicData>
            </a:graphic>
          </wp:inline>
        </w:drawing>
      </w:r>
    </w:p>
    <w:p w14:paraId="3AA338F6" w14:textId="06D90505" w:rsidR="00412337" w:rsidRPr="000B2F96" w:rsidRDefault="000B2F96" w:rsidP="00412337">
      <w:pPr>
        <w:spacing w:after="0"/>
        <w:jc w:val="center"/>
        <w:rPr>
          <w:b/>
          <w:bCs/>
        </w:rPr>
      </w:pPr>
      <w:r w:rsidRPr="000B2F96">
        <w:rPr>
          <w:b/>
          <w:bCs/>
        </w:rPr>
        <w:t>Fig.</w:t>
      </w:r>
      <w:r w:rsidR="0003137F">
        <w:rPr>
          <w:b/>
          <w:bCs/>
        </w:rPr>
        <w:t>5</w:t>
      </w:r>
      <w:r w:rsidRPr="000B2F96">
        <w:rPr>
          <w:b/>
          <w:bCs/>
        </w:rPr>
        <w:t xml:space="preserve"> </w:t>
      </w:r>
      <w:r w:rsidR="00617EC3">
        <w:rPr>
          <w:b/>
          <w:bCs/>
        </w:rPr>
        <w:t xml:space="preserve">Dynamic adaptation of resource pattern </w:t>
      </w:r>
      <w:r w:rsidR="002B2159">
        <w:rPr>
          <w:b/>
          <w:bCs/>
        </w:rPr>
        <w:t xml:space="preserve">based on applicable </w:t>
      </w:r>
      <w:r w:rsidR="00076EF0">
        <w:rPr>
          <w:b/>
          <w:bCs/>
        </w:rPr>
        <w:t>multiplexing modes</w:t>
      </w:r>
    </w:p>
    <w:p w14:paraId="6CA7DF84" w14:textId="77777777" w:rsidR="00412337" w:rsidRDefault="00412337" w:rsidP="0071495E">
      <w:pPr>
        <w:spacing w:after="0"/>
        <w:jc w:val="both"/>
        <w:rPr>
          <w:b/>
          <w:bCs/>
          <w:u w:val="single"/>
        </w:rPr>
      </w:pPr>
    </w:p>
    <w:p w14:paraId="2CD2DEB9" w14:textId="7A3B269D" w:rsidR="00560555" w:rsidRDefault="0071495E" w:rsidP="0071495E">
      <w:pPr>
        <w:spacing w:after="0"/>
        <w:jc w:val="both"/>
        <w:rPr>
          <w:b/>
          <w:bCs/>
        </w:rPr>
      </w:pPr>
      <w:r>
        <w:rPr>
          <w:b/>
          <w:bCs/>
          <w:u w:val="single"/>
        </w:rPr>
        <w:t>Proposal</w:t>
      </w:r>
      <w:r w:rsidRPr="00B41255">
        <w:rPr>
          <w:b/>
          <w:bCs/>
          <w:u w:val="single"/>
        </w:rPr>
        <w:t xml:space="preserve"> </w:t>
      </w:r>
      <w:r>
        <w:rPr>
          <w:b/>
          <w:bCs/>
          <w:u w:val="single"/>
        </w:rPr>
        <w:t>3.2</w:t>
      </w:r>
      <w:r w:rsidRPr="00B41255">
        <w:rPr>
          <w:b/>
          <w:bCs/>
          <w:u w:val="single"/>
        </w:rPr>
        <w:t>:</w:t>
      </w:r>
      <w:r>
        <w:rPr>
          <w:b/>
          <w:bCs/>
        </w:rPr>
        <w:t xml:space="preserve"> </w:t>
      </w:r>
    </w:p>
    <w:p w14:paraId="00ACAC2E" w14:textId="77777777" w:rsidR="00560555" w:rsidRDefault="00560555" w:rsidP="0071495E">
      <w:pPr>
        <w:spacing w:after="0"/>
        <w:jc w:val="both"/>
        <w:rPr>
          <w:b/>
          <w:bCs/>
        </w:rPr>
      </w:pPr>
    </w:p>
    <w:p w14:paraId="08BC7647" w14:textId="5F9CDE9A" w:rsidR="005B0F21" w:rsidRDefault="005B0F21" w:rsidP="0071495E">
      <w:pPr>
        <w:spacing w:after="0"/>
        <w:jc w:val="both"/>
        <w:rPr>
          <w:b/>
          <w:bCs/>
        </w:rPr>
      </w:pPr>
      <w:r w:rsidRPr="005B0F21">
        <w:rPr>
          <w:b/>
          <w:bCs/>
        </w:rPr>
        <w:t>Support dynamic indication by the IAB-node to its parent-node to indicate applicability of simultaneous operation modes</w:t>
      </w:r>
      <w:r>
        <w:rPr>
          <w:b/>
          <w:bCs/>
        </w:rPr>
        <w:t>.</w:t>
      </w:r>
    </w:p>
    <w:p w14:paraId="0F48FB54" w14:textId="77777777" w:rsidR="00B8163A" w:rsidRDefault="00F56213" w:rsidP="00F56213">
      <w:pPr>
        <w:pStyle w:val="ListParagraph"/>
        <w:numPr>
          <w:ilvl w:val="0"/>
          <w:numId w:val="15"/>
        </w:numPr>
        <w:spacing w:after="0"/>
        <w:jc w:val="both"/>
        <w:rPr>
          <w:b/>
          <w:bCs/>
        </w:rPr>
      </w:pPr>
      <w:r>
        <w:rPr>
          <w:b/>
          <w:bCs/>
        </w:rPr>
        <w:t xml:space="preserve">FFS: </w:t>
      </w:r>
      <w:r w:rsidR="00AF4459">
        <w:rPr>
          <w:b/>
          <w:bCs/>
        </w:rPr>
        <w:t xml:space="preserve">indicated </w:t>
      </w:r>
      <w:r w:rsidR="00B8163A">
        <w:rPr>
          <w:b/>
          <w:bCs/>
        </w:rPr>
        <w:t>in</w:t>
      </w:r>
      <w:r w:rsidR="00AF4459">
        <w:rPr>
          <w:b/>
          <w:bCs/>
        </w:rPr>
        <w:t xml:space="preserve"> </w:t>
      </w:r>
      <w:r w:rsidR="00C670F9">
        <w:rPr>
          <w:b/>
          <w:bCs/>
        </w:rPr>
        <w:t xml:space="preserve">the </w:t>
      </w:r>
      <w:r w:rsidR="00AF4459">
        <w:rPr>
          <w:b/>
          <w:bCs/>
        </w:rPr>
        <w:t xml:space="preserve">same </w:t>
      </w:r>
      <w:r w:rsidR="00C670F9">
        <w:rPr>
          <w:b/>
          <w:bCs/>
        </w:rPr>
        <w:t>signaling</w:t>
      </w:r>
      <w:r w:rsidR="00AF4459">
        <w:rPr>
          <w:b/>
          <w:bCs/>
        </w:rPr>
        <w:t xml:space="preserve"> for required conditions</w:t>
      </w:r>
      <w:r w:rsidR="00B8163A">
        <w:rPr>
          <w:b/>
          <w:bCs/>
        </w:rPr>
        <w:t xml:space="preserve">. </w:t>
      </w:r>
    </w:p>
    <w:p w14:paraId="61D078F5" w14:textId="3E59A171" w:rsidR="0044366F" w:rsidRPr="00105FAA" w:rsidRDefault="00B8163A" w:rsidP="00105FAA">
      <w:pPr>
        <w:pStyle w:val="ListParagraph"/>
        <w:numPr>
          <w:ilvl w:val="0"/>
          <w:numId w:val="15"/>
        </w:numPr>
        <w:spacing w:after="0"/>
        <w:jc w:val="both"/>
        <w:rPr>
          <w:b/>
          <w:bCs/>
        </w:rPr>
      </w:pPr>
      <w:r>
        <w:rPr>
          <w:b/>
          <w:bCs/>
        </w:rPr>
        <w:t xml:space="preserve">FFS: support of dynamic </w:t>
      </w:r>
      <w:r w:rsidR="00C85307">
        <w:rPr>
          <w:b/>
          <w:bCs/>
        </w:rPr>
        <w:t xml:space="preserve">overriding Rel-16 time-domain configuration by Rel-17 frequency-domain </w:t>
      </w:r>
      <w:r w:rsidR="001913D6">
        <w:rPr>
          <w:b/>
          <w:bCs/>
        </w:rPr>
        <w:t xml:space="preserve">configuration </w:t>
      </w:r>
      <w:r w:rsidR="00C91470">
        <w:rPr>
          <w:b/>
          <w:bCs/>
        </w:rPr>
        <w:t xml:space="preserve">based on </w:t>
      </w:r>
      <w:r w:rsidR="00D17605">
        <w:rPr>
          <w:b/>
          <w:bCs/>
        </w:rPr>
        <w:t xml:space="preserve">indication of </w:t>
      </w:r>
      <w:r w:rsidR="00C91470">
        <w:rPr>
          <w:b/>
          <w:bCs/>
        </w:rPr>
        <w:t xml:space="preserve">applicability of simultaneous operation modes. </w:t>
      </w:r>
      <w:r w:rsidR="002A6B68">
        <w:rPr>
          <w:b/>
          <w:bCs/>
        </w:rPr>
        <w:t xml:space="preserve"> </w:t>
      </w:r>
      <w:r w:rsidR="00C670F9">
        <w:rPr>
          <w:b/>
          <w:bCs/>
        </w:rPr>
        <w:t xml:space="preserve"> </w:t>
      </w:r>
      <w:r w:rsidR="00F56213">
        <w:rPr>
          <w:b/>
          <w:bCs/>
        </w:rPr>
        <w:t xml:space="preserve"> </w:t>
      </w:r>
    </w:p>
    <w:p w14:paraId="30101174" w14:textId="44ECEBA4" w:rsidR="005468B8" w:rsidRPr="005468B8" w:rsidRDefault="005468B8" w:rsidP="005468B8">
      <w:pPr>
        <w:pStyle w:val="Heading3"/>
      </w:pPr>
      <w:r>
        <w:t xml:space="preserve">3.2 </w:t>
      </w:r>
      <w:r w:rsidRPr="005468B8">
        <w:rPr>
          <w:szCs w:val="28"/>
        </w:rPr>
        <w:t>Guard symbols</w:t>
      </w:r>
    </w:p>
    <w:p w14:paraId="737A654E" w14:textId="77777777" w:rsidR="005468B8" w:rsidRDefault="005468B8" w:rsidP="005468B8">
      <w:r>
        <w:t>RAN1 #106-e agreed to the following,</w:t>
      </w:r>
    </w:p>
    <w:tbl>
      <w:tblPr>
        <w:tblStyle w:val="TableGrid"/>
        <w:tblW w:w="0" w:type="auto"/>
        <w:tblLook w:val="04A0" w:firstRow="1" w:lastRow="0" w:firstColumn="1" w:lastColumn="0" w:noHBand="0" w:noVBand="1"/>
      </w:tblPr>
      <w:tblGrid>
        <w:gridCol w:w="9350"/>
      </w:tblGrid>
      <w:tr w:rsidR="005468B8" w14:paraId="681AFB29" w14:textId="77777777" w:rsidTr="001938D1">
        <w:tc>
          <w:tcPr>
            <w:tcW w:w="9350" w:type="dxa"/>
            <w:shd w:val="clear" w:color="auto" w:fill="auto"/>
          </w:tcPr>
          <w:p w14:paraId="398D5D31" w14:textId="77777777" w:rsidR="005468B8" w:rsidRPr="006A2957" w:rsidRDefault="005468B8" w:rsidP="001938D1">
            <w:pPr>
              <w:shd w:val="clear" w:color="auto" w:fill="FFFFFF"/>
              <w:jc w:val="both"/>
              <w:rPr>
                <w:b/>
                <w:bCs/>
                <w:color w:val="222222"/>
                <w:shd w:val="clear" w:color="auto" w:fill="00FF00"/>
                <w:lang w:eastAsia="ko-KR"/>
              </w:rPr>
            </w:pPr>
            <w:r w:rsidRPr="006A2957">
              <w:rPr>
                <w:b/>
                <w:bCs/>
                <w:color w:val="222222"/>
                <w:shd w:val="clear" w:color="auto" w:fill="00FF00"/>
                <w:lang w:eastAsia="ko-KR"/>
              </w:rPr>
              <w:t>Agreement</w:t>
            </w:r>
          </w:p>
          <w:p w14:paraId="7F3D0460" w14:textId="77777777" w:rsidR="005468B8" w:rsidRPr="006A2957" w:rsidRDefault="005468B8" w:rsidP="001938D1">
            <w:pPr>
              <w:shd w:val="clear" w:color="auto" w:fill="FFFFFF"/>
              <w:jc w:val="both"/>
              <w:rPr>
                <w:b/>
                <w:bCs/>
                <w:color w:val="222222"/>
                <w:lang w:eastAsia="ko-KR"/>
              </w:rPr>
            </w:pPr>
            <w:r w:rsidRPr="006A2957">
              <w:rPr>
                <w:b/>
                <w:bCs/>
                <w:color w:val="222222"/>
                <w:lang w:eastAsia="ko-KR"/>
              </w:rPr>
              <w:t>MAC-CE signaling of Desired/Provided Guard Symbols is enhanced (e.g. using the same Rel-16 MAC-CE design) to support indication of guard symbols additionally required for Case #6 and Case #7 timing cases.</w:t>
            </w:r>
          </w:p>
          <w:p w14:paraId="62DDE670" w14:textId="77777777" w:rsidR="005468B8" w:rsidRPr="006A2957" w:rsidRDefault="005468B8" w:rsidP="001938D1">
            <w:pPr>
              <w:pStyle w:val="ListParagraph"/>
              <w:numPr>
                <w:ilvl w:val="0"/>
                <w:numId w:val="16"/>
              </w:numPr>
              <w:overflowPunct/>
              <w:autoSpaceDE/>
              <w:autoSpaceDN/>
              <w:adjustRightInd/>
              <w:spacing w:after="0"/>
              <w:jc w:val="both"/>
              <w:textAlignment w:val="auto"/>
              <w:rPr>
                <w:rFonts w:eastAsia="Calibri"/>
                <w:b/>
                <w:bCs/>
              </w:rPr>
            </w:pPr>
            <w:r w:rsidRPr="006A2957">
              <w:rPr>
                <w:rFonts w:eastAsia="Calibri"/>
                <w:b/>
                <w:bCs/>
              </w:rPr>
              <w:t>FFS: Number of guard symbols associated with Case #6 and Case #7 timing modes</w:t>
            </w:r>
          </w:p>
          <w:p w14:paraId="75DE316C" w14:textId="77777777" w:rsidR="005468B8" w:rsidRPr="006A2957" w:rsidRDefault="005468B8" w:rsidP="001938D1">
            <w:pPr>
              <w:pStyle w:val="ListParagraph"/>
              <w:numPr>
                <w:ilvl w:val="0"/>
                <w:numId w:val="16"/>
              </w:numPr>
              <w:overflowPunct/>
              <w:autoSpaceDE/>
              <w:autoSpaceDN/>
              <w:adjustRightInd/>
              <w:spacing w:after="0"/>
              <w:jc w:val="both"/>
              <w:textAlignment w:val="auto"/>
              <w:rPr>
                <w:rFonts w:eastAsia="Calibri" w:cs="Times"/>
                <w:bCs/>
              </w:rPr>
            </w:pPr>
            <w:r w:rsidRPr="006A2957">
              <w:rPr>
                <w:rFonts w:eastAsia="Calibri"/>
                <w:b/>
                <w:bCs/>
              </w:rPr>
              <w:t>FFS: Need for explicit indication of guard symbols switching between timing cases</w:t>
            </w:r>
          </w:p>
        </w:tc>
      </w:tr>
    </w:tbl>
    <w:p w14:paraId="6E2248B5" w14:textId="77777777" w:rsidR="005468B8" w:rsidRPr="0043382B" w:rsidRDefault="005468B8" w:rsidP="005468B8">
      <w:pPr>
        <w:rPr>
          <w:b/>
          <w:bCs/>
        </w:rPr>
      </w:pPr>
    </w:p>
    <w:p w14:paraId="344C286A" w14:textId="77777777" w:rsidR="005468B8" w:rsidRDefault="005468B8" w:rsidP="005468B8">
      <w:r>
        <w:t>Rel-16 framework of desired/provided guard symbols indication is to address different types of switching between MT TX/RX and DU TX/RX. And in Rel-16, we only have one timing case which is Case 1.</w:t>
      </w:r>
    </w:p>
    <w:p w14:paraId="68B72A45" w14:textId="77777777" w:rsidR="005468B8" w:rsidRDefault="005468B8" w:rsidP="005468B8">
      <w:r>
        <w:t>However, in Rel-17, we have extended the modes of operation in two dimensions:</w:t>
      </w:r>
    </w:p>
    <w:p w14:paraId="55DD8902" w14:textId="77777777" w:rsidR="005468B8" w:rsidRDefault="005468B8" w:rsidP="005468B8">
      <w:pPr>
        <w:pStyle w:val="ListParagraph"/>
        <w:numPr>
          <w:ilvl w:val="0"/>
          <w:numId w:val="16"/>
        </w:numPr>
      </w:pPr>
      <w:r>
        <w:t>4 new enhanced multiplexing modes of (MT TX, DU TX), (MT RX, DU RX), (MT TX, DU RX), (MT RX, DU TX), are supported in addition to the 4 original modes of (MT TX), (MT RX), (DU TX), (DU RX).</w:t>
      </w:r>
    </w:p>
    <w:p w14:paraId="2EDDF9CE" w14:textId="77777777" w:rsidR="005468B8" w:rsidRDefault="005468B8" w:rsidP="005468B8">
      <w:pPr>
        <w:pStyle w:val="ListParagraph"/>
        <w:numPr>
          <w:ilvl w:val="0"/>
          <w:numId w:val="16"/>
        </w:numPr>
      </w:pPr>
      <w:r>
        <w:lastRenderedPageBreak/>
        <w:t>2 new MT UL TX timing cases, i.e., Case 6 UL TX timing, and Case 7 UL TX timing, are supported in addition to the legacy Case 1 UL TX timing</w:t>
      </w:r>
    </w:p>
    <w:p w14:paraId="676E25F2" w14:textId="727A3CB5" w:rsidR="005468B8" w:rsidRDefault="005468B8" w:rsidP="005468B8">
      <w:pPr>
        <w:pStyle w:val="ListParagraph"/>
        <w:numPr>
          <w:ilvl w:val="0"/>
          <w:numId w:val="16"/>
        </w:numPr>
      </w:pPr>
      <w:r>
        <w:t>1 new DU UL RX timing case, i.e., Case 7 UL RX timing, is supported in addition to the original Case 1 UL RX timing.</w:t>
      </w:r>
    </w:p>
    <w:p w14:paraId="6B48CF2F" w14:textId="10A13B12" w:rsidR="005468B8" w:rsidRPr="00305036" w:rsidRDefault="005468B8" w:rsidP="005468B8">
      <w:r>
        <w:t>It is observed there are quite a few new types of switching across different combinations of [up to 8] multiplexing modes and [up to 3] timing cases, and each switch type may require a different number of guard symbols. But supporting an indication of the desired/provided guard symbols for all such switch types will lead to complicated signaling and a larger overhead and is not justified.</w:t>
      </w:r>
    </w:p>
    <w:p w14:paraId="63412E77" w14:textId="279EB76C" w:rsidR="005468B8" w:rsidRPr="004C17D0" w:rsidRDefault="005468B8" w:rsidP="005468B8">
      <w:pPr>
        <w:rPr>
          <w:b/>
          <w:bCs/>
          <w:u w:val="single"/>
        </w:rPr>
      </w:pPr>
      <w:r>
        <w:rPr>
          <w:b/>
          <w:bCs/>
          <w:u w:val="single"/>
        </w:rPr>
        <w:t>Observation</w:t>
      </w:r>
      <w:r w:rsidRPr="004C17D0">
        <w:rPr>
          <w:b/>
          <w:bCs/>
          <w:u w:val="single"/>
        </w:rPr>
        <w:t xml:space="preserve"> </w:t>
      </w:r>
      <w:r>
        <w:rPr>
          <w:b/>
          <w:bCs/>
          <w:u w:val="single"/>
        </w:rPr>
        <w:t>3</w:t>
      </w:r>
      <w:r w:rsidRPr="004C17D0">
        <w:rPr>
          <w:b/>
          <w:bCs/>
          <w:u w:val="single"/>
        </w:rPr>
        <w:t>.</w:t>
      </w:r>
      <w:r w:rsidR="008E4FC5">
        <w:rPr>
          <w:b/>
          <w:bCs/>
          <w:u w:val="single"/>
        </w:rPr>
        <w:t>2</w:t>
      </w:r>
      <w:r w:rsidRPr="004C17D0">
        <w:rPr>
          <w:b/>
          <w:bCs/>
          <w:u w:val="single"/>
        </w:rPr>
        <w:t>:</w:t>
      </w:r>
    </w:p>
    <w:p w14:paraId="56A076C0" w14:textId="77777777" w:rsidR="005468B8" w:rsidRDefault="005468B8" w:rsidP="005468B8">
      <w:pPr>
        <w:rPr>
          <w:b/>
          <w:bCs/>
          <w:szCs w:val="18"/>
          <w:lang w:eastAsia="ja-JP"/>
        </w:rPr>
      </w:pPr>
      <w:r>
        <w:rPr>
          <w:b/>
          <w:bCs/>
          <w:szCs w:val="18"/>
          <w:lang w:eastAsia="ja-JP"/>
        </w:rPr>
        <w:t>Rel-17 supports quite a few new types of switching across combinations of MT/DU timing cases, and MT/DU multiplexing modes.</w:t>
      </w:r>
    </w:p>
    <w:p w14:paraId="2FB9D034" w14:textId="4F64CEBA" w:rsidR="005468B8" w:rsidRPr="005468B8" w:rsidRDefault="005468B8" w:rsidP="005468B8">
      <w:pPr>
        <w:rPr>
          <w:b/>
          <w:bCs/>
          <w:szCs w:val="18"/>
          <w:lang w:eastAsia="ja-JP"/>
        </w:rPr>
      </w:pPr>
      <w:r>
        <w:rPr>
          <w:b/>
          <w:bCs/>
          <w:szCs w:val="18"/>
          <w:lang w:eastAsia="ja-JP"/>
        </w:rPr>
        <w:t>Each switch type may require a different number of guard symbols. However, supporting an indication of desired/provided guard symbols for all switch types will lead to a large signaling overhead.</w:t>
      </w:r>
    </w:p>
    <w:p w14:paraId="067534CF" w14:textId="77777777" w:rsidR="005468B8" w:rsidRDefault="005468B8" w:rsidP="005468B8">
      <w:pPr>
        <w:rPr>
          <w:lang w:eastAsia="ja-JP"/>
        </w:rPr>
      </w:pPr>
      <w:r>
        <w:rPr>
          <w:lang w:eastAsia="ja-JP"/>
        </w:rPr>
        <w:t xml:space="preserve">We should then agree to a subset of switch types for extension of Rel-16 indication of desired/provided guard symbols. We propose to limit the extension to support the new timing cases, and not explicitly the new multiplexing modes. That is, to support switching between MT TX/RX and DU TX/RX when Case 6 or Case 7 is adopted. </w:t>
      </w:r>
    </w:p>
    <w:p w14:paraId="5C946C96" w14:textId="02719403" w:rsidR="005468B8" w:rsidRPr="00055C51" w:rsidRDefault="005468B8" w:rsidP="005468B8">
      <w:pPr>
        <w:rPr>
          <w:lang w:eastAsia="ja-JP"/>
        </w:rPr>
      </w:pPr>
      <w:r>
        <w:rPr>
          <w:lang w:eastAsia="ja-JP"/>
        </w:rPr>
        <w:t>To support a different timing case at the DU (i.e., DU RX timing to be based on Case 7 vs Case 1), the parent-node should know if/when the IAB-DU adopts Case 7 UL RX timing. Providing this extra information to the parent-node is not justified.</w:t>
      </w:r>
    </w:p>
    <w:p w14:paraId="4516AB75" w14:textId="14B369B3" w:rsidR="005468B8" w:rsidRPr="004C17D0" w:rsidRDefault="005468B8" w:rsidP="005468B8">
      <w:pPr>
        <w:rPr>
          <w:b/>
          <w:bCs/>
          <w:u w:val="single"/>
        </w:rPr>
      </w:pPr>
      <w:bookmarkStart w:id="2" w:name="_Hlk84016868"/>
      <w:r>
        <w:rPr>
          <w:b/>
          <w:bCs/>
          <w:u w:val="single"/>
        </w:rPr>
        <w:t>Observation</w:t>
      </w:r>
      <w:r w:rsidRPr="004C17D0">
        <w:rPr>
          <w:b/>
          <w:bCs/>
          <w:u w:val="single"/>
        </w:rPr>
        <w:t xml:space="preserve"> </w:t>
      </w:r>
      <w:r>
        <w:rPr>
          <w:b/>
          <w:bCs/>
          <w:u w:val="single"/>
        </w:rPr>
        <w:t>3</w:t>
      </w:r>
      <w:r w:rsidRPr="004C17D0">
        <w:rPr>
          <w:b/>
          <w:bCs/>
          <w:u w:val="single"/>
        </w:rPr>
        <w:t>.</w:t>
      </w:r>
      <w:r w:rsidR="008E4FC5">
        <w:rPr>
          <w:b/>
          <w:bCs/>
          <w:u w:val="single"/>
        </w:rPr>
        <w:t>3</w:t>
      </w:r>
      <w:r w:rsidRPr="004C17D0">
        <w:rPr>
          <w:b/>
          <w:bCs/>
          <w:u w:val="single"/>
        </w:rPr>
        <w:t>:</w:t>
      </w:r>
    </w:p>
    <w:p w14:paraId="05175D09" w14:textId="16D8BD0F" w:rsidR="005468B8" w:rsidRDefault="005468B8" w:rsidP="005468B8">
      <w:pPr>
        <w:rPr>
          <w:lang w:eastAsia="ja-JP"/>
        </w:rPr>
      </w:pPr>
      <w:r>
        <w:rPr>
          <w:b/>
          <w:bCs/>
          <w:szCs w:val="18"/>
          <w:lang w:eastAsia="ja-JP"/>
        </w:rPr>
        <w:t xml:space="preserve">To support extension of </w:t>
      </w:r>
      <w:r w:rsidRPr="005E38C6">
        <w:rPr>
          <w:b/>
          <w:bCs/>
          <w:color w:val="222222"/>
          <w:szCs w:val="18"/>
          <w:lang w:eastAsia="ko-KR"/>
        </w:rPr>
        <w:t xml:space="preserve">Desired/Provided Guard Symbols </w:t>
      </w:r>
      <w:r>
        <w:rPr>
          <w:b/>
          <w:bCs/>
          <w:szCs w:val="18"/>
          <w:lang w:eastAsia="ja-JP"/>
        </w:rPr>
        <w:t>to a new UL RX timing at a DU (based on Case 7) will further require providing the parent-node if/when the IAB-DU adopts Case 7 UL RX timing. This is not justified, due to its large signaling overhead, and questionable benefit.</w:t>
      </w:r>
      <w:bookmarkEnd w:id="2"/>
      <w:r>
        <w:rPr>
          <w:b/>
          <w:bCs/>
          <w:szCs w:val="18"/>
          <w:lang w:eastAsia="ja-JP"/>
        </w:rPr>
        <w:t xml:space="preserve"> </w:t>
      </w:r>
    </w:p>
    <w:p w14:paraId="2862E2AC" w14:textId="3F705DF7" w:rsidR="005468B8" w:rsidRPr="005468B8" w:rsidRDefault="005468B8" w:rsidP="005468B8">
      <w:r>
        <w:t>Therefore, we propose to extend the</w:t>
      </w:r>
      <w:r w:rsidRPr="004F7805">
        <w:t xml:space="preserve"> indication of desired/provided guard symbols </w:t>
      </w:r>
      <w:r>
        <w:t xml:space="preserve">only </w:t>
      </w:r>
      <w:r w:rsidRPr="004F7805">
        <w:t>for MT’s Case 7 and Case 6 UL TX timing when switching to/from DU TX and/or RX.</w:t>
      </w:r>
    </w:p>
    <w:p w14:paraId="749E9BE6" w14:textId="1874F00C" w:rsidR="005468B8" w:rsidRPr="004C17D0" w:rsidRDefault="005468B8" w:rsidP="005468B8">
      <w:pPr>
        <w:rPr>
          <w:b/>
          <w:bCs/>
          <w:u w:val="single"/>
        </w:rPr>
      </w:pPr>
      <w:bookmarkStart w:id="3" w:name="_Hlk84016887"/>
      <w:r>
        <w:rPr>
          <w:b/>
          <w:bCs/>
          <w:u w:val="single"/>
        </w:rPr>
        <w:t>Proposal</w:t>
      </w:r>
      <w:r w:rsidRPr="004C17D0">
        <w:rPr>
          <w:b/>
          <w:bCs/>
          <w:u w:val="single"/>
        </w:rPr>
        <w:t xml:space="preserve"> </w:t>
      </w:r>
      <w:r>
        <w:rPr>
          <w:b/>
          <w:bCs/>
          <w:u w:val="single"/>
        </w:rPr>
        <w:t>3</w:t>
      </w:r>
      <w:r w:rsidRPr="004C17D0">
        <w:rPr>
          <w:b/>
          <w:bCs/>
          <w:u w:val="single"/>
        </w:rPr>
        <w:t>.</w:t>
      </w:r>
      <w:r>
        <w:rPr>
          <w:b/>
          <w:bCs/>
          <w:u w:val="single"/>
        </w:rPr>
        <w:t>3</w:t>
      </w:r>
      <w:r w:rsidRPr="004C17D0">
        <w:rPr>
          <w:b/>
          <w:bCs/>
          <w:u w:val="single"/>
        </w:rPr>
        <w:t>:</w:t>
      </w:r>
    </w:p>
    <w:p w14:paraId="03CFC856" w14:textId="77777777" w:rsidR="005468B8" w:rsidRDefault="005468B8" w:rsidP="005468B8">
      <w:pPr>
        <w:rPr>
          <w:b/>
          <w:bCs/>
          <w:color w:val="222222"/>
          <w:szCs w:val="18"/>
          <w:lang w:eastAsia="ko-KR"/>
        </w:rPr>
      </w:pPr>
      <w:r w:rsidRPr="005E38C6">
        <w:rPr>
          <w:b/>
          <w:bCs/>
          <w:color w:val="222222"/>
          <w:szCs w:val="18"/>
          <w:lang w:eastAsia="ko-KR"/>
        </w:rPr>
        <w:t>MAC-CE signaling of Desired/Provided Guard Symbols is</w:t>
      </w:r>
      <w:r>
        <w:rPr>
          <w:b/>
          <w:bCs/>
          <w:color w:val="222222"/>
          <w:szCs w:val="18"/>
          <w:lang w:eastAsia="ko-KR"/>
        </w:rPr>
        <w:t xml:space="preserve"> extended to support the following switch types:</w:t>
      </w:r>
    </w:p>
    <w:p w14:paraId="5C7DFFD3" w14:textId="77777777" w:rsidR="005468B8" w:rsidRDefault="005468B8" w:rsidP="005468B8">
      <w:pPr>
        <w:pStyle w:val="ListParagraph"/>
        <w:numPr>
          <w:ilvl w:val="0"/>
          <w:numId w:val="16"/>
        </w:numPr>
        <w:rPr>
          <w:b/>
          <w:bCs/>
        </w:rPr>
      </w:pPr>
      <w:r w:rsidRPr="002E3242">
        <w:rPr>
          <w:b/>
          <w:bCs/>
        </w:rPr>
        <w:t xml:space="preserve">MT TX </w:t>
      </w:r>
      <w:r>
        <w:rPr>
          <w:b/>
          <w:bCs/>
        </w:rPr>
        <w:t xml:space="preserve">based on Case 7 UL timing to/from DU RX, and </w:t>
      </w:r>
      <w:r w:rsidRPr="002E3242">
        <w:rPr>
          <w:b/>
          <w:bCs/>
        </w:rPr>
        <w:t xml:space="preserve">MT TX </w:t>
      </w:r>
      <w:r>
        <w:rPr>
          <w:b/>
          <w:bCs/>
        </w:rPr>
        <w:t>based on Case 7 UL timing to/from DU TX</w:t>
      </w:r>
    </w:p>
    <w:p w14:paraId="697DD314" w14:textId="6C64A34D" w:rsidR="00A45596" w:rsidRDefault="005468B8" w:rsidP="00A45596">
      <w:pPr>
        <w:pStyle w:val="ListParagraph"/>
        <w:numPr>
          <w:ilvl w:val="0"/>
          <w:numId w:val="16"/>
        </w:numPr>
        <w:rPr>
          <w:b/>
          <w:bCs/>
        </w:rPr>
      </w:pPr>
      <w:r w:rsidRPr="005468B8">
        <w:rPr>
          <w:b/>
          <w:bCs/>
        </w:rPr>
        <w:t>MT TX based on Case 6 UL timing to/from DU RX, and MT TX based on Case 6 UL timing to/from DU TX</w:t>
      </w:r>
      <w:bookmarkEnd w:id="3"/>
    </w:p>
    <w:p w14:paraId="632AD24D" w14:textId="77CE7B8F" w:rsidR="00A45596" w:rsidRPr="00A45596" w:rsidRDefault="00A45596" w:rsidP="00A45596">
      <w:pPr>
        <w:pStyle w:val="Heading3"/>
      </w:pPr>
      <w:r>
        <w:t>3.3 Indication of different timing cases</w:t>
      </w:r>
    </w:p>
    <w:p w14:paraId="5046C3CA" w14:textId="77777777" w:rsidR="00A45596" w:rsidRDefault="00A45596" w:rsidP="00A45596">
      <w:r w:rsidRPr="001C71AB">
        <w:t xml:space="preserve">First, regarding </w:t>
      </w:r>
      <w:r>
        <w:t>w</w:t>
      </w:r>
      <w:r w:rsidRPr="001C71AB">
        <w:t>hether an IAB-node is indicated by the parent-node when Case 7 timing is performed at the IAB-node</w:t>
      </w:r>
      <w:r>
        <w:t xml:space="preserve">, we note that this is </w:t>
      </w:r>
      <w:r w:rsidRPr="001C71AB">
        <w:t xml:space="preserve">related to </w:t>
      </w:r>
      <w:r>
        <w:t>the U</w:t>
      </w:r>
      <w:r w:rsidRPr="001C71AB">
        <w:t>L RX timing</w:t>
      </w:r>
      <w:r>
        <w:t xml:space="preserve"> to be used at the IAB-DU. We believe IAB-DU itself should have the flexibility to decide how to set its UL RX timing, and it does not seem necessary (nor justified) for the parent-node to indicate what timing reference to be used on the next hop.</w:t>
      </w:r>
    </w:p>
    <w:p w14:paraId="218F6983" w14:textId="04086CB7" w:rsidR="00A45596" w:rsidRPr="00D17B55" w:rsidRDefault="00A45596" w:rsidP="00A45596">
      <w:pPr>
        <w:jc w:val="both"/>
        <w:rPr>
          <w:b/>
          <w:bCs/>
        </w:rPr>
      </w:pPr>
      <w:bookmarkStart w:id="4" w:name="_Hlk84016915"/>
      <w:r>
        <w:rPr>
          <w:b/>
          <w:bCs/>
          <w:u w:val="single"/>
        </w:rPr>
        <w:t>Proposal</w:t>
      </w:r>
      <w:r w:rsidRPr="00D17B55">
        <w:rPr>
          <w:b/>
          <w:bCs/>
          <w:u w:val="single"/>
        </w:rPr>
        <w:t xml:space="preserve"> </w:t>
      </w:r>
      <w:r>
        <w:rPr>
          <w:b/>
          <w:bCs/>
          <w:u w:val="single"/>
        </w:rPr>
        <w:t>3.4</w:t>
      </w:r>
      <w:r w:rsidRPr="00D17B55">
        <w:rPr>
          <w:b/>
          <w:bCs/>
          <w:u w:val="single"/>
        </w:rPr>
        <w:t>:</w:t>
      </w:r>
      <w:r w:rsidRPr="00D17B55">
        <w:rPr>
          <w:b/>
          <w:bCs/>
        </w:rPr>
        <w:t xml:space="preserve"> </w:t>
      </w:r>
    </w:p>
    <w:p w14:paraId="56BDEAFD" w14:textId="4A7EF228" w:rsidR="00A45596" w:rsidRDefault="00A45596" w:rsidP="00A45596">
      <w:pPr>
        <w:rPr>
          <w:b/>
          <w:bCs/>
        </w:rPr>
      </w:pPr>
      <w:r>
        <w:rPr>
          <w:b/>
          <w:bCs/>
        </w:rPr>
        <w:t>An IAB-DU decides about its UL RX timing reference (e.g., whether to adopt Case 1, or Case 7) without any indication from its parent-node.</w:t>
      </w:r>
      <w:bookmarkEnd w:id="4"/>
      <w:r>
        <w:rPr>
          <w:b/>
          <w:bCs/>
        </w:rPr>
        <w:t xml:space="preserve"> </w:t>
      </w:r>
    </w:p>
    <w:p w14:paraId="4EECD40F" w14:textId="77777777" w:rsidR="00A45596" w:rsidRDefault="00A45596" w:rsidP="00A45596">
      <w:r w:rsidRPr="00006FD8">
        <w:t xml:space="preserve">Now </w:t>
      </w:r>
      <w:r>
        <w:t xml:space="preserve">it remains to discuss how an IAB-MT is indicated, by the parent-node, when to set its UL TX timing in association with any of the Case 1, Case 6, or Case 7 timing. </w:t>
      </w:r>
    </w:p>
    <w:p w14:paraId="6E902FB8" w14:textId="77777777" w:rsidR="00A45596" w:rsidRDefault="00A45596" w:rsidP="00A45596">
      <w:r>
        <w:t xml:space="preserve">Note that Case 6 UL TX timing is to facilitate an enhanced duplexing mode at the IAB-node which is primarily for (MT TX, DU TX), while it can also be used for (MT TX, DU RX). However, Case 7 UL TX timing is to facilitate an enhanced duplexing mode at the </w:t>
      </w:r>
      <w:r w:rsidRPr="00DF30B8">
        <w:rPr>
          <w:u w:val="single"/>
        </w:rPr>
        <w:t>parent-node</w:t>
      </w:r>
      <w:r>
        <w:rPr>
          <w:u w:val="single"/>
        </w:rPr>
        <w:t>,</w:t>
      </w:r>
      <w:r>
        <w:t xml:space="preserve"> which is (parent IAB-MT RX, parent IAB-DU RX).</w:t>
      </w:r>
    </w:p>
    <w:p w14:paraId="2C8391BE" w14:textId="77777777" w:rsidR="00A45596" w:rsidRDefault="00A45596" w:rsidP="00A45596">
      <w:r>
        <w:lastRenderedPageBreak/>
        <w:t xml:space="preserve">Therefore, at least Case 7 UL TX timing cannot be directly associated with a multiplexing mode of the IAB-node, and IAB-node cannot map it to a subset of its time resources. As a result, it should be explicitly indicated which time resources are associated with Case 7 UL TX timing. </w:t>
      </w:r>
    </w:p>
    <w:p w14:paraId="5D32AFED" w14:textId="7689E3BE" w:rsidR="00A45596" w:rsidRDefault="00A45596" w:rsidP="00A45596">
      <w:r>
        <w:t>On the other hand, Case 6 can be associated with a multiplexing mode of the IAB-node, and IAB-node may be able to map it to a subset of its time resources (without any explicit indication). However, it is desired to have a unified design.</w:t>
      </w:r>
    </w:p>
    <w:p w14:paraId="7C93F2E2" w14:textId="09E3A582" w:rsidR="00A45596" w:rsidRPr="00D17B55" w:rsidRDefault="00A45596" w:rsidP="00A45596">
      <w:pPr>
        <w:jc w:val="both"/>
        <w:rPr>
          <w:b/>
          <w:bCs/>
        </w:rPr>
      </w:pPr>
      <w:bookmarkStart w:id="5" w:name="_Hlk84016955"/>
      <w:r>
        <w:rPr>
          <w:b/>
          <w:bCs/>
          <w:u w:val="single"/>
        </w:rPr>
        <w:t>Observation</w:t>
      </w:r>
      <w:r w:rsidRPr="00D17B55">
        <w:rPr>
          <w:b/>
          <w:bCs/>
          <w:u w:val="single"/>
        </w:rPr>
        <w:t xml:space="preserve"> </w:t>
      </w:r>
      <w:r>
        <w:rPr>
          <w:b/>
          <w:bCs/>
          <w:u w:val="single"/>
        </w:rPr>
        <w:t>3.</w:t>
      </w:r>
      <w:r w:rsidR="008E4FC5">
        <w:rPr>
          <w:b/>
          <w:bCs/>
          <w:u w:val="single"/>
        </w:rPr>
        <w:t>4</w:t>
      </w:r>
      <w:r w:rsidRPr="00D17B55">
        <w:rPr>
          <w:b/>
          <w:bCs/>
          <w:u w:val="single"/>
        </w:rPr>
        <w:t>:</w:t>
      </w:r>
      <w:r w:rsidRPr="00D17B55">
        <w:rPr>
          <w:b/>
          <w:bCs/>
        </w:rPr>
        <w:t xml:space="preserve"> </w:t>
      </w:r>
    </w:p>
    <w:p w14:paraId="52D9B57F" w14:textId="77777777" w:rsidR="00A45596" w:rsidRDefault="00A45596" w:rsidP="00A45596">
      <w:pPr>
        <w:rPr>
          <w:b/>
          <w:bCs/>
        </w:rPr>
      </w:pPr>
      <w:r>
        <w:rPr>
          <w:b/>
          <w:bCs/>
        </w:rPr>
        <w:t xml:space="preserve">An IAB-MT’s Case 6 UL TX timing is to facilitate enhanced duplexing at the IAB-node, while IAB-MT’s Case 7 UL TX timing is to facilitate enhanced duplexing at the parent-node. </w:t>
      </w:r>
    </w:p>
    <w:p w14:paraId="0514AA79" w14:textId="77777777" w:rsidR="00A45596" w:rsidRDefault="00A45596" w:rsidP="00A45596">
      <w:pPr>
        <w:rPr>
          <w:b/>
          <w:bCs/>
        </w:rPr>
      </w:pPr>
      <w:r>
        <w:rPr>
          <w:b/>
          <w:bCs/>
        </w:rPr>
        <w:t>An IAB-node cannot map Case 7 UL TX timing (of IAB-MT) to any subset of its time resources, without explicit indication from the parent-node.</w:t>
      </w:r>
    </w:p>
    <w:p w14:paraId="1D62723B" w14:textId="3A717C7A" w:rsidR="00A45596" w:rsidRDefault="00A45596" w:rsidP="00A45596">
      <w:pPr>
        <w:rPr>
          <w:b/>
          <w:bCs/>
        </w:rPr>
      </w:pPr>
      <w:r>
        <w:rPr>
          <w:b/>
          <w:bCs/>
        </w:rPr>
        <w:t>It is desired to have a unified design for indication of different UL TX timing cases.</w:t>
      </w:r>
      <w:bookmarkEnd w:id="5"/>
    </w:p>
    <w:p w14:paraId="64C50EC2" w14:textId="77777777" w:rsidR="00A45596" w:rsidRDefault="00A45596" w:rsidP="00A45596">
      <w:r>
        <w:t>Regarding the details of the signaling design, we propose the following.</w:t>
      </w:r>
    </w:p>
    <w:p w14:paraId="76D413B2" w14:textId="77777777" w:rsidR="00A45596" w:rsidRDefault="00A45596" w:rsidP="00A45596">
      <w:r>
        <w:t>The IAB-MT is explicitly indicated a mapping between its time resources (with slot-level granularity) to one of {Case 1, Case 6, Case 7}. Then, IAB-MT is expected to adjust its UL TX timing for all UL transmissions within a slot with respect to the associated/indicated timing case.</w:t>
      </w:r>
    </w:p>
    <w:p w14:paraId="673F2241" w14:textId="509FB0A8" w:rsidR="00A45596" w:rsidRPr="00A45596" w:rsidRDefault="00A45596" w:rsidP="00A45596">
      <w:pPr>
        <w:rPr>
          <w:u w:val="single"/>
        </w:rPr>
      </w:pPr>
      <w:r>
        <w:t xml:space="preserve">We also note that the indication received from a serving cell will also be applicable to all other serving cells in the same TAG. </w:t>
      </w:r>
    </w:p>
    <w:p w14:paraId="7C11FDF6" w14:textId="281753C4" w:rsidR="00A45596" w:rsidRPr="00D17B55" w:rsidRDefault="00A45596" w:rsidP="00A45596">
      <w:pPr>
        <w:jc w:val="both"/>
        <w:rPr>
          <w:b/>
          <w:bCs/>
        </w:rPr>
      </w:pPr>
      <w:bookmarkStart w:id="6" w:name="_Hlk84016998"/>
      <w:r>
        <w:rPr>
          <w:b/>
          <w:bCs/>
          <w:u w:val="single"/>
        </w:rPr>
        <w:t>Proposal</w:t>
      </w:r>
      <w:r w:rsidRPr="00D17B55">
        <w:rPr>
          <w:b/>
          <w:bCs/>
          <w:u w:val="single"/>
        </w:rPr>
        <w:t xml:space="preserve"> </w:t>
      </w:r>
      <w:r>
        <w:rPr>
          <w:b/>
          <w:bCs/>
          <w:u w:val="single"/>
        </w:rPr>
        <w:t>3.5</w:t>
      </w:r>
      <w:r w:rsidRPr="00D17B55">
        <w:rPr>
          <w:b/>
          <w:bCs/>
          <w:u w:val="single"/>
        </w:rPr>
        <w:t>:</w:t>
      </w:r>
      <w:r w:rsidRPr="00D17B55">
        <w:rPr>
          <w:b/>
          <w:bCs/>
        </w:rPr>
        <w:t xml:space="preserve"> </w:t>
      </w:r>
    </w:p>
    <w:p w14:paraId="5948CB37" w14:textId="77777777" w:rsidR="00A45596" w:rsidRDefault="00A45596" w:rsidP="00A45596">
      <w:pPr>
        <w:rPr>
          <w:b/>
          <w:bCs/>
        </w:rPr>
      </w:pPr>
      <w:r>
        <w:rPr>
          <w:b/>
          <w:bCs/>
        </w:rPr>
        <w:t xml:space="preserve">An IAB-MT is provided with Timing Case Indication that explicitly indicates a list of slots and their associated UL TX timing cases (i.e., one of {Case 1, Case 6, Case 7} for each slot). </w:t>
      </w:r>
    </w:p>
    <w:p w14:paraId="6090C499" w14:textId="7D94149E" w:rsidR="00A45596" w:rsidRDefault="00A45596" w:rsidP="00A45596">
      <w:pPr>
        <w:rPr>
          <w:b/>
          <w:bCs/>
        </w:rPr>
      </w:pPr>
      <w:r>
        <w:rPr>
          <w:b/>
          <w:bCs/>
        </w:rPr>
        <w:t>Timing Case Indication is provided via MAC-CE.</w:t>
      </w:r>
    </w:p>
    <w:p w14:paraId="2CD302EA" w14:textId="78DF155B" w:rsidR="00A45596" w:rsidRPr="004C17D0" w:rsidRDefault="00A45596" w:rsidP="00A45596">
      <w:pPr>
        <w:rPr>
          <w:b/>
          <w:bCs/>
          <w:u w:val="single"/>
        </w:rPr>
      </w:pPr>
      <w:r w:rsidRPr="004C17D0">
        <w:rPr>
          <w:b/>
          <w:bCs/>
          <w:u w:val="single"/>
        </w:rPr>
        <w:t xml:space="preserve">Proposal </w:t>
      </w:r>
      <w:r>
        <w:rPr>
          <w:b/>
          <w:bCs/>
          <w:u w:val="single"/>
        </w:rPr>
        <w:t>3</w:t>
      </w:r>
      <w:r w:rsidRPr="004C17D0">
        <w:rPr>
          <w:b/>
          <w:bCs/>
          <w:u w:val="single"/>
        </w:rPr>
        <w:t>.</w:t>
      </w:r>
      <w:r>
        <w:rPr>
          <w:b/>
          <w:bCs/>
          <w:u w:val="single"/>
        </w:rPr>
        <w:t>6</w:t>
      </w:r>
      <w:r w:rsidRPr="004C17D0">
        <w:rPr>
          <w:b/>
          <w:bCs/>
          <w:u w:val="single"/>
        </w:rPr>
        <w:t>:</w:t>
      </w:r>
    </w:p>
    <w:p w14:paraId="10300DBE" w14:textId="6DE650DD" w:rsidR="00A45596" w:rsidRPr="00006FD8" w:rsidRDefault="00A45596" w:rsidP="00A45596">
      <w:r>
        <w:rPr>
          <w:b/>
          <w:bCs/>
        </w:rPr>
        <w:t>Timing Case Indication received from a serving cell is applicable to all other cells in the same timing advance group (TAG).</w:t>
      </w:r>
      <w:bookmarkEnd w:id="6"/>
    </w:p>
    <w:p w14:paraId="761026C4" w14:textId="195D66CB" w:rsidR="00A45596" w:rsidRDefault="00A45596" w:rsidP="00A45596">
      <w:r>
        <w:t>There is still one aspect which is missing – that is how does the parent-node determine whether the IAB-node needs/desires Case 6 UL TX timing? This is essentially similar to other assistance information that may be provided by the IAB-MT to the parent-node such as: desired guard symbols, desired UL PSD range, desired DL TX power adjustment, recommended/not-preferred MT’s beams, etc.</w:t>
      </w:r>
    </w:p>
    <w:p w14:paraId="64AC2AA2" w14:textId="77777777" w:rsidR="00A45596" w:rsidRDefault="00A45596" w:rsidP="00A45596">
      <w:r>
        <w:t>We note that whether an IAB-node really needs Case 6 timing may be dependent on different factors – for example, it may be needed:</w:t>
      </w:r>
    </w:p>
    <w:p w14:paraId="3BEC6563" w14:textId="77777777" w:rsidR="00A45596" w:rsidRDefault="00A45596" w:rsidP="00A45596">
      <w:pPr>
        <w:pStyle w:val="ListParagraph"/>
        <w:numPr>
          <w:ilvl w:val="0"/>
          <w:numId w:val="23"/>
        </w:numPr>
      </w:pPr>
      <w:r>
        <w:t>For some specific MT CC(s), or for some specific pair(s) of (MT CC, DU cell) when there is simultaneous communication on the MT CC and DU cell.</w:t>
      </w:r>
    </w:p>
    <w:p w14:paraId="76FA6D50" w14:textId="77777777" w:rsidR="00A45596" w:rsidRDefault="00A45596" w:rsidP="00A45596">
      <w:pPr>
        <w:pStyle w:val="ListParagraph"/>
        <w:numPr>
          <w:ilvl w:val="0"/>
          <w:numId w:val="23"/>
        </w:numPr>
      </w:pPr>
      <w:r>
        <w:t>For some specific multiplexing mode(s): (MT TX, DU TX) and/or (MT TX, DU RX)</w:t>
      </w:r>
    </w:p>
    <w:p w14:paraId="00409AEA" w14:textId="77777777" w:rsidR="00A45596" w:rsidRDefault="00A45596" w:rsidP="00A45596">
      <w:pPr>
        <w:pStyle w:val="ListParagraph"/>
        <w:numPr>
          <w:ilvl w:val="0"/>
          <w:numId w:val="23"/>
        </w:numPr>
      </w:pPr>
      <w:r>
        <w:t>For some specific MT TX beam(s)</w:t>
      </w:r>
    </w:p>
    <w:p w14:paraId="5D47415B" w14:textId="0620C8DC" w:rsidR="00A45596" w:rsidRDefault="00A45596" w:rsidP="00A45596">
      <w:pPr>
        <w:pStyle w:val="ListParagraph"/>
        <w:numPr>
          <w:ilvl w:val="0"/>
          <w:numId w:val="23"/>
        </w:numPr>
      </w:pPr>
      <w:r>
        <w:t>Whether simultaneous MT’s TX and DU’s communications are FDMed or not (i.e., being [partially] overlapping).</w:t>
      </w:r>
    </w:p>
    <w:p w14:paraId="11A32FC8" w14:textId="7E865718" w:rsidR="00A45596" w:rsidRPr="00D17B55" w:rsidRDefault="00A45596" w:rsidP="00A45596">
      <w:pPr>
        <w:jc w:val="both"/>
        <w:rPr>
          <w:b/>
          <w:bCs/>
        </w:rPr>
      </w:pPr>
      <w:bookmarkStart w:id="7" w:name="_Hlk84017029"/>
      <w:r>
        <w:rPr>
          <w:b/>
          <w:bCs/>
          <w:u w:val="single"/>
        </w:rPr>
        <w:t>Observation</w:t>
      </w:r>
      <w:r w:rsidRPr="00D17B55">
        <w:rPr>
          <w:b/>
          <w:bCs/>
          <w:u w:val="single"/>
        </w:rPr>
        <w:t xml:space="preserve"> </w:t>
      </w:r>
      <w:r>
        <w:rPr>
          <w:b/>
          <w:bCs/>
          <w:u w:val="single"/>
        </w:rPr>
        <w:t>3</w:t>
      </w:r>
      <w:r w:rsidR="001B0AEC">
        <w:rPr>
          <w:b/>
          <w:bCs/>
          <w:u w:val="single"/>
        </w:rPr>
        <w:t>.</w:t>
      </w:r>
      <w:r w:rsidR="008E4FC5">
        <w:rPr>
          <w:b/>
          <w:bCs/>
          <w:u w:val="single"/>
        </w:rPr>
        <w:t>5</w:t>
      </w:r>
      <w:r w:rsidRPr="00D17B55">
        <w:rPr>
          <w:b/>
          <w:bCs/>
          <w:u w:val="single"/>
        </w:rPr>
        <w:t>:</w:t>
      </w:r>
      <w:r w:rsidRPr="00D17B55">
        <w:rPr>
          <w:b/>
          <w:bCs/>
        </w:rPr>
        <w:t xml:space="preserve"> </w:t>
      </w:r>
    </w:p>
    <w:p w14:paraId="3C6CB877" w14:textId="77777777" w:rsidR="00A45596" w:rsidRDefault="00A45596" w:rsidP="00A45596">
      <w:pPr>
        <w:rPr>
          <w:b/>
          <w:bCs/>
        </w:rPr>
      </w:pPr>
      <w:r>
        <w:rPr>
          <w:b/>
          <w:bCs/>
        </w:rPr>
        <w:t>An IAB-MT’s need for Case 6 UL TX timing may depend on:</w:t>
      </w:r>
    </w:p>
    <w:p w14:paraId="31ED7889" w14:textId="77777777" w:rsidR="00A45596" w:rsidRDefault="00A45596" w:rsidP="00A45596">
      <w:pPr>
        <w:pStyle w:val="ListParagraph"/>
        <w:numPr>
          <w:ilvl w:val="0"/>
          <w:numId w:val="23"/>
        </w:numPr>
        <w:rPr>
          <w:b/>
          <w:bCs/>
        </w:rPr>
      </w:pPr>
      <w:r>
        <w:rPr>
          <w:b/>
          <w:bCs/>
        </w:rPr>
        <w:t>MT CC, and/or (MT CC, DU cell) pair</w:t>
      </w:r>
    </w:p>
    <w:p w14:paraId="7E35E84C" w14:textId="77777777" w:rsidR="00A45596" w:rsidRDefault="00A45596" w:rsidP="00A45596">
      <w:pPr>
        <w:pStyle w:val="ListParagraph"/>
        <w:numPr>
          <w:ilvl w:val="0"/>
          <w:numId w:val="23"/>
        </w:numPr>
        <w:rPr>
          <w:b/>
          <w:bCs/>
        </w:rPr>
      </w:pPr>
      <w:r>
        <w:rPr>
          <w:b/>
          <w:bCs/>
        </w:rPr>
        <w:t>IAB-node’s multiplexing mode: (MT TX, DU TX) and/or (MT TX, DU RX)</w:t>
      </w:r>
    </w:p>
    <w:p w14:paraId="751DA537" w14:textId="77777777" w:rsidR="00A45596" w:rsidRDefault="00A45596" w:rsidP="00A45596">
      <w:pPr>
        <w:pStyle w:val="ListParagraph"/>
        <w:numPr>
          <w:ilvl w:val="0"/>
          <w:numId w:val="23"/>
        </w:numPr>
        <w:rPr>
          <w:b/>
          <w:bCs/>
        </w:rPr>
      </w:pPr>
      <w:r>
        <w:rPr>
          <w:b/>
          <w:bCs/>
        </w:rPr>
        <w:t>MT’s TX beam</w:t>
      </w:r>
    </w:p>
    <w:p w14:paraId="09F77CC2" w14:textId="7BC0315A" w:rsidR="00A45596" w:rsidRPr="008E4FC5" w:rsidRDefault="00A45596" w:rsidP="00A45596">
      <w:pPr>
        <w:pStyle w:val="ListParagraph"/>
        <w:numPr>
          <w:ilvl w:val="0"/>
          <w:numId w:val="23"/>
        </w:numPr>
        <w:rPr>
          <w:b/>
          <w:bCs/>
        </w:rPr>
      </w:pPr>
      <w:r>
        <w:rPr>
          <w:b/>
          <w:bCs/>
        </w:rPr>
        <w:t>Whether MT’s TX is FDMed with DU’s communications or overlaps in the frequency domain.</w:t>
      </w:r>
      <w:bookmarkEnd w:id="7"/>
    </w:p>
    <w:p w14:paraId="7679CE94" w14:textId="77777777" w:rsidR="00A45596" w:rsidRDefault="00A45596" w:rsidP="00A45596">
      <w:r>
        <w:t xml:space="preserve">While, ideally, indication of desired Case 6 timing can be associated with any combination of the above factors, we propose the following to balance the signalling overhead. </w:t>
      </w:r>
    </w:p>
    <w:p w14:paraId="39F6F522" w14:textId="77777777" w:rsidR="00A45596" w:rsidRDefault="00A45596" w:rsidP="00A45596"/>
    <w:p w14:paraId="5226EC72" w14:textId="7800E3E3" w:rsidR="00A45596" w:rsidRPr="004C17D0" w:rsidRDefault="00A45596" w:rsidP="00A45596">
      <w:pPr>
        <w:rPr>
          <w:b/>
          <w:bCs/>
          <w:u w:val="single"/>
        </w:rPr>
      </w:pPr>
      <w:bookmarkStart w:id="8" w:name="_Hlk84017069"/>
      <w:r w:rsidRPr="004C17D0">
        <w:rPr>
          <w:b/>
          <w:bCs/>
          <w:u w:val="single"/>
        </w:rPr>
        <w:lastRenderedPageBreak/>
        <w:t xml:space="preserve">Proposal </w:t>
      </w:r>
      <w:r w:rsidR="001B0AEC">
        <w:rPr>
          <w:b/>
          <w:bCs/>
          <w:u w:val="single"/>
        </w:rPr>
        <w:t>3.7</w:t>
      </w:r>
      <w:r w:rsidRPr="004C17D0">
        <w:rPr>
          <w:b/>
          <w:bCs/>
          <w:u w:val="single"/>
        </w:rPr>
        <w:t>:</w:t>
      </w:r>
    </w:p>
    <w:p w14:paraId="3A49BC1D" w14:textId="77777777" w:rsidR="00A45596" w:rsidRDefault="00A45596" w:rsidP="00A45596">
      <w:pPr>
        <w:rPr>
          <w:b/>
          <w:bCs/>
        </w:rPr>
      </w:pPr>
      <w:r>
        <w:rPr>
          <w:b/>
          <w:bCs/>
        </w:rPr>
        <w:t xml:space="preserve">IAB-MT indicates, to its parent-node, whether it desires Case 6 UL TX timing, for a given MT CC, to facilitate simultaneous IAB-MT’s TX and IAB-DU’s TX and/or RX. </w:t>
      </w:r>
    </w:p>
    <w:p w14:paraId="2E59C497" w14:textId="77777777" w:rsidR="001B0AEC" w:rsidRDefault="00A45596" w:rsidP="00A45596">
      <w:pPr>
        <w:pStyle w:val="ListParagraph"/>
        <w:numPr>
          <w:ilvl w:val="0"/>
          <w:numId w:val="23"/>
        </w:numPr>
        <w:rPr>
          <w:b/>
          <w:bCs/>
        </w:rPr>
      </w:pPr>
      <w:r w:rsidRPr="00332DEB">
        <w:rPr>
          <w:b/>
          <w:bCs/>
        </w:rPr>
        <w:t xml:space="preserve">FFS: whether this indication </w:t>
      </w:r>
      <w:r>
        <w:rPr>
          <w:b/>
          <w:bCs/>
        </w:rPr>
        <w:t>can</w:t>
      </w:r>
      <w:r w:rsidRPr="00332DEB">
        <w:rPr>
          <w:b/>
          <w:bCs/>
        </w:rPr>
        <w:t xml:space="preserve"> further </w:t>
      </w:r>
      <w:r>
        <w:rPr>
          <w:b/>
          <w:bCs/>
        </w:rPr>
        <w:t xml:space="preserve">be </w:t>
      </w:r>
      <w:r w:rsidRPr="00332DEB">
        <w:rPr>
          <w:b/>
          <w:bCs/>
        </w:rPr>
        <w:t>beam specific.</w:t>
      </w:r>
    </w:p>
    <w:p w14:paraId="6BD9A9A5" w14:textId="48137AC5" w:rsidR="00A45596" w:rsidRPr="001B0AEC" w:rsidRDefault="00A45596" w:rsidP="00A45596">
      <w:pPr>
        <w:pStyle w:val="ListParagraph"/>
        <w:numPr>
          <w:ilvl w:val="0"/>
          <w:numId w:val="23"/>
        </w:numPr>
        <w:rPr>
          <w:b/>
          <w:bCs/>
        </w:rPr>
      </w:pPr>
      <w:r w:rsidRPr="001B0AEC">
        <w:rPr>
          <w:b/>
          <w:bCs/>
        </w:rPr>
        <w:t>FFS: whether this indication can further depend on whether IAB-MT’s TX is FDMed with IAB-DU’s communications or not.</w:t>
      </w:r>
      <w:bookmarkEnd w:id="8"/>
    </w:p>
    <w:p w14:paraId="241EA9CA" w14:textId="09AB3603" w:rsidR="00105FAA" w:rsidRPr="00105FAA" w:rsidRDefault="005468B8" w:rsidP="005468B8">
      <w:pPr>
        <w:pStyle w:val="Heading2"/>
      </w:pPr>
      <w:r>
        <w:t>4.</w:t>
      </w:r>
      <w:r w:rsidR="00D17605">
        <w:t xml:space="preserve"> </w:t>
      </w:r>
      <w:r w:rsidR="00105FAA" w:rsidRPr="00105FAA">
        <w:t>Beam management</w:t>
      </w:r>
      <w:r w:rsidR="00105FAA">
        <w:t xml:space="preserve"> </w:t>
      </w:r>
    </w:p>
    <w:p w14:paraId="47645E02" w14:textId="77777777" w:rsidR="00105FAA" w:rsidRDefault="00105FAA" w:rsidP="00105FAA">
      <w:r>
        <w:t>RAN1 #106-e agreed to the following,</w:t>
      </w:r>
    </w:p>
    <w:tbl>
      <w:tblPr>
        <w:tblStyle w:val="TableGrid"/>
        <w:tblW w:w="0" w:type="auto"/>
        <w:tblLook w:val="04A0" w:firstRow="1" w:lastRow="0" w:firstColumn="1" w:lastColumn="0" w:noHBand="0" w:noVBand="1"/>
      </w:tblPr>
      <w:tblGrid>
        <w:gridCol w:w="9350"/>
      </w:tblGrid>
      <w:tr w:rsidR="00105FAA" w14:paraId="50CF5961" w14:textId="77777777" w:rsidTr="001938D1">
        <w:tc>
          <w:tcPr>
            <w:tcW w:w="9350" w:type="dxa"/>
            <w:shd w:val="clear" w:color="auto" w:fill="auto"/>
          </w:tcPr>
          <w:p w14:paraId="70775255" w14:textId="77777777" w:rsidR="00105FAA" w:rsidRPr="009060F5" w:rsidRDefault="00105FAA" w:rsidP="00105FAA">
            <w:pPr>
              <w:spacing w:after="0"/>
              <w:rPr>
                <w:b/>
                <w:highlight w:val="green"/>
              </w:rPr>
            </w:pPr>
            <w:r w:rsidRPr="009060F5">
              <w:rPr>
                <w:b/>
                <w:highlight w:val="green"/>
              </w:rPr>
              <w:t>Agreement</w:t>
            </w:r>
          </w:p>
          <w:p w14:paraId="2C9E7E64" w14:textId="77777777" w:rsidR="00105FAA" w:rsidRPr="009060F5" w:rsidRDefault="00105FAA" w:rsidP="00105FAA">
            <w:pPr>
              <w:spacing w:after="0"/>
              <w:rPr>
                <w:rFonts w:eastAsia="Calibri"/>
                <w:b/>
              </w:rPr>
            </w:pPr>
            <w:r w:rsidRPr="009060F5">
              <w:rPr>
                <w:rFonts w:eastAsia="Calibri"/>
                <w:b/>
              </w:rPr>
              <w:t>Spatial domain restrictions from a parent node or recommendations from a child node is limited to a subset of time resources in which simultaneous operation is applied.</w:t>
            </w:r>
          </w:p>
          <w:p w14:paraId="57639160" w14:textId="77777777" w:rsidR="00105FAA" w:rsidRPr="009060F5" w:rsidRDefault="00105FAA" w:rsidP="00105FAA">
            <w:pPr>
              <w:pStyle w:val="ListParagraph"/>
              <w:numPr>
                <w:ilvl w:val="0"/>
                <w:numId w:val="16"/>
              </w:numPr>
              <w:overflowPunct/>
              <w:autoSpaceDE/>
              <w:autoSpaceDN/>
              <w:adjustRightInd/>
              <w:spacing w:after="0"/>
              <w:jc w:val="both"/>
              <w:textAlignment w:val="auto"/>
              <w:rPr>
                <w:rFonts w:eastAsia="Calibri"/>
                <w:b/>
              </w:rPr>
            </w:pPr>
            <w:r w:rsidRPr="009060F5">
              <w:rPr>
                <w:rFonts w:eastAsia="Calibri"/>
                <w:b/>
              </w:rPr>
              <w:t>FFS: Handling of frequency resources in case of FDM operation</w:t>
            </w:r>
          </w:p>
          <w:p w14:paraId="10C0E737" w14:textId="77777777" w:rsidR="00105FAA" w:rsidRPr="00105FAA" w:rsidRDefault="00105FAA" w:rsidP="00105FAA">
            <w:pPr>
              <w:pStyle w:val="ListParagraph"/>
              <w:numPr>
                <w:ilvl w:val="0"/>
                <w:numId w:val="16"/>
              </w:numPr>
              <w:overflowPunct/>
              <w:autoSpaceDE/>
              <w:autoSpaceDN/>
              <w:adjustRightInd/>
              <w:spacing w:after="0"/>
              <w:jc w:val="both"/>
              <w:textAlignment w:val="auto"/>
              <w:rPr>
                <w:rFonts w:cs="Times"/>
              </w:rPr>
            </w:pPr>
            <w:r w:rsidRPr="009060F5">
              <w:rPr>
                <w:rFonts w:eastAsia="Calibri"/>
                <w:b/>
              </w:rPr>
              <w:t>FFS: Support for implicit/explicit indication of the simultaneous operation mode</w:t>
            </w:r>
          </w:p>
          <w:p w14:paraId="5F3C2F2A" w14:textId="77777777" w:rsidR="00105FAA" w:rsidRDefault="00105FAA" w:rsidP="00105FAA">
            <w:pPr>
              <w:shd w:val="clear" w:color="auto" w:fill="FFFFFF"/>
              <w:rPr>
                <w:b/>
                <w:bCs/>
                <w:color w:val="222222"/>
                <w:shd w:val="clear" w:color="auto" w:fill="00FF00"/>
                <w:lang w:eastAsia="ko-KR"/>
              </w:rPr>
            </w:pPr>
          </w:p>
          <w:p w14:paraId="1F788E68" w14:textId="01BD88F7" w:rsidR="00105FAA" w:rsidRPr="009060F5" w:rsidRDefault="00105FAA" w:rsidP="00105FAA">
            <w:pPr>
              <w:shd w:val="clear" w:color="auto" w:fill="FFFFFF"/>
              <w:spacing w:after="0"/>
              <w:rPr>
                <w:b/>
                <w:bCs/>
                <w:color w:val="222222"/>
                <w:shd w:val="clear" w:color="auto" w:fill="00FF00"/>
                <w:lang w:eastAsia="ko-KR"/>
              </w:rPr>
            </w:pPr>
            <w:r w:rsidRPr="009060F5">
              <w:rPr>
                <w:b/>
                <w:bCs/>
                <w:color w:val="222222"/>
                <w:shd w:val="clear" w:color="auto" w:fill="00FF00"/>
                <w:lang w:eastAsia="ko-KR"/>
              </w:rPr>
              <w:t>Agreement</w:t>
            </w:r>
          </w:p>
          <w:p w14:paraId="6EFBFD00" w14:textId="77777777" w:rsidR="00105FAA" w:rsidRPr="009060F5" w:rsidRDefault="00105FAA" w:rsidP="00105FAA">
            <w:pPr>
              <w:shd w:val="clear" w:color="auto" w:fill="FFFFFF"/>
              <w:spacing w:after="0"/>
              <w:rPr>
                <w:b/>
                <w:bCs/>
                <w:color w:val="222222"/>
                <w:lang w:eastAsia="ko-KR"/>
              </w:rPr>
            </w:pPr>
            <w:r w:rsidRPr="009060F5">
              <w:rPr>
                <w:b/>
                <w:bCs/>
                <w:color w:val="222222"/>
                <w:lang w:eastAsia="ko-KR"/>
              </w:rPr>
              <w:t>The child node indication of recommended beams to the parent node can include both IAB-MT DL beams and/or IAB-MT UL beams.</w:t>
            </w:r>
          </w:p>
          <w:p w14:paraId="5425E54E" w14:textId="77777777" w:rsidR="00105FAA" w:rsidRPr="009060F5" w:rsidRDefault="00105FAA" w:rsidP="00105FAA">
            <w:pPr>
              <w:pStyle w:val="ListParagraph"/>
              <w:numPr>
                <w:ilvl w:val="0"/>
                <w:numId w:val="16"/>
              </w:numPr>
              <w:overflowPunct/>
              <w:autoSpaceDE/>
              <w:autoSpaceDN/>
              <w:adjustRightInd/>
              <w:spacing w:after="0"/>
              <w:jc w:val="both"/>
              <w:textAlignment w:val="auto"/>
              <w:rPr>
                <w:rFonts w:eastAsia="Calibri"/>
                <w:b/>
                <w:bCs/>
              </w:rPr>
            </w:pPr>
            <w:r w:rsidRPr="009060F5">
              <w:rPr>
                <w:rFonts w:eastAsia="Calibri"/>
                <w:b/>
                <w:bCs/>
              </w:rPr>
              <w:t>FFS: Indication via MAC-CE or UCI transmission</w:t>
            </w:r>
          </w:p>
          <w:p w14:paraId="22831CB8" w14:textId="77777777" w:rsidR="00105FAA" w:rsidRDefault="00105FAA" w:rsidP="00105FAA">
            <w:pPr>
              <w:pStyle w:val="ListParagraph"/>
              <w:numPr>
                <w:ilvl w:val="0"/>
                <w:numId w:val="16"/>
              </w:numPr>
              <w:overflowPunct/>
              <w:autoSpaceDE/>
              <w:autoSpaceDN/>
              <w:adjustRightInd/>
              <w:spacing w:after="0"/>
              <w:jc w:val="both"/>
              <w:textAlignment w:val="auto"/>
              <w:rPr>
                <w:rFonts w:eastAsia="Calibri"/>
                <w:b/>
                <w:bCs/>
              </w:rPr>
            </w:pPr>
            <w:r w:rsidRPr="009060F5">
              <w:rPr>
                <w:rFonts w:eastAsia="Calibri"/>
                <w:b/>
                <w:bCs/>
              </w:rPr>
              <w:t>FFS: Definition of IAB-MT DL beams and/or IAB-MT UL beams (e.g. TCI state ID, Spatial relation information ID, RS ID (including CSI-RS, SRS, SSB, etc.))</w:t>
            </w:r>
          </w:p>
          <w:p w14:paraId="21CD01EB" w14:textId="677C317B" w:rsidR="00105FAA" w:rsidRPr="00105FAA" w:rsidRDefault="00105FAA" w:rsidP="00105FAA">
            <w:pPr>
              <w:pStyle w:val="ListParagraph"/>
              <w:numPr>
                <w:ilvl w:val="0"/>
                <w:numId w:val="16"/>
              </w:numPr>
              <w:overflowPunct/>
              <w:autoSpaceDE/>
              <w:autoSpaceDN/>
              <w:adjustRightInd/>
              <w:spacing w:after="0"/>
              <w:jc w:val="both"/>
              <w:textAlignment w:val="auto"/>
              <w:rPr>
                <w:rFonts w:eastAsia="Calibri"/>
                <w:b/>
                <w:bCs/>
              </w:rPr>
            </w:pPr>
            <w:r w:rsidRPr="00105FAA">
              <w:rPr>
                <w:rFonts w:eastAsia="Calibri"/>
                <w:b/>
                <w:bCs/>
              </w:rPr>
              <w:t>FFS: Whether indication of “not preferred” beams is supported</w:t>
            </w:r>
          </w:p>
        </w:tc>
      </w:tr>
    </w:tbl>
    <w:p w14:paraId="3DA4C33E" w14:textId="77777777" w:rsidR="00105FAA" w:rsidRDefault="00105FAA" w:rsidP="00105FAA"/>
    <w:tbl>
      <w:tblPr>
        <w:tblStyle w:val="TableGrid"/>
        <w:tblW w:w="0" w:type="auto"/>
        <w:tblLook w:val="04A0" w:firstRow="1" w:lastRow="0" w:firstColumn="1" w:lastColumn="0" w:noHBand="0" w:noVBand="1"/>
      </w:tblPr>
      <w:tblGrid>
        <w:gridCol w:w="9350"/>
      </w:tblGrid>
      <w:tr w:rsidR="00105FAA" w14:paraId="4289B99F" w14:textId="77777777" w:rsidTr="001938D1">
        <w:tc>
          <w:tcPr>
            <w:tcW w:w="9350" w:type="dxa"/>
            <w:shd w:val="clear" w:color="auto" w:fill="auto"/>
          </w:tcPr>
          <w:p w14:paraId="43A36238" w14:textId="77777777" w:rsidR="00105FAA" w:rsidRPr="009060F5" w:rsidRDefault="00105FAA" w:rsidP="00105FAA">
            <w:pPr>
              <w:spacing w:after="0"/>
              <w:rPr>
                <w:rFonts w:eastAsia="SimSun"/>
                <w:b/>
                <w:lang w:eastAsia="zh-CN"/>
              </w:rPr>
            </w:pPr>
            <w:r w:rsidRPr="009060F5">
              <w:rPr>
                <w:b/>
                <w:highlight w:val="green"/>
                <w:lang w:eastAsia="zh-CN"/>
              </w:rPr>
              <w:t>Agreement</w:t>
            </w:r>
          </w:p>
          <w:p w14:paraId="6DFBCE84" w14:textId="77777777" w:rsidR="00105FAA" w:rsidRPr="009060F5" w:rsidRDefault="00105FAA" w:rsidP="00105FAA">
            <w:pPr>
              <w:spacing w:after="0"/>
              <w:rPr>
                <w:b/>
                <w:lang w:eastAsia="zh-CN"/>
              </w:rPr>
            </w:pPr>
            <w:r w:rsidRPr="009060F5">
              <w:rPr>
                <w:b/>
                <w:lang w:eastAsia="zh-CN"/>
              </w:rPr>
              <w:t>MAC-CE signaling from a parent node is supported for indication of beams of an IAB-DU in the direction of which simultaneous operation is restricted</w:t>
            </w:r>
          </w:p>
          <w:p w14:paraId="3E66E99E" w14:textId="77777777" w:rsidR="00105FAA" w:rsidRDefault="00105FAA" w:rsidP="00105FAA">
            <w:pPr>
              <w:numPr>
                <w:ilvl w:val="0"/>
                <w:numId w:val="16"/>
              </w:numPr>
              <w:overflowPunct/>
              <w:autoSpaceDE/>
              <w:autoSpaceDN/>
              <w:adjustRightInd/>
              <w:spacing w:after="0"/>
              <w:textAlignment w:val="auto"/>
              <w:rPr>
                <w:b/>
                <w:lang w:eastAsia="zh-CN"/>
              </w:rPr>
            </w:pPr>
            <w:r w:rsidRPr="009060F5">
              <w:rPr>
                <w:b/>
                <w:lang w:eastAsia="zh-CN"/>
              </w:rPr>
              <w:t>FFS: Details of beam indication (e.g. TCI state ID, Spatial relation information ID, RS ID (including CSI-RS, SRS, SSB, etc.))</w:t>
            </w:r>
          </w:p>
          <w:p w14:paraId="17B2D45D" w14:textId="60EEA619" w:rsidR="00105FAA" w:rsidRPr="00105FAA" w:rsidRDefault="00105FAA" w:rsidP="00105FAA">
            <w:pPr>
              <w:numPr>
                <w:ilvl w:val="0"/>
                <w:numId w:val="16"/>
              </w:numPr>
              <w:overflowPunct/>
              <w:autoSpaceDE/>
              <w:autoSpaceDN/>
              <w:adjustRightInd/>
              <w:spacing w:after="0"/>
              <w:textAlignment w:val="auto"/>
              <w:rPr>
                <w:b/>
                <w:lang w:eastAsia="zh-CN"/>
              </w:rPr>
            </w:pPr>
            <w:r w:rsidRPr="00105FAA">
              <w:rPr>
                <w:b/>
                <w:lang w:eastAsia="zh-CN"/>
              </w:rPr>
              <w:t>FFS: Applicability to other beams</w:t>
            </w:r>
          </w:p>
        </w:tc>
      </w:tr>
    </w:tbl>
    <w:p w14:paraId="1641404D" w14:textId="77777777" w:rsidR="00105FAA" w:rsidRDefault="00105FAA" w:rsidP="00105FAA"/>
    <w:p w14:paraId="604C7D12" w14:textId="77777777" w:rsidR="00105FAA" w:rsidRDefault="00105FAA" w:rsidP="00105FAA">
      <w:r>
        <w:t>The following list summarizes the remaining aspects related to the beam management:</w:t>
      </w:r>
    </w:p>
    <w:p w14:paraId="71671718" w14:textId="77777777" w:rsidR="00105FAA" w:rsidRDefault="00105FAA" w:rsidP="00105FAA">
      <w:pPr>
        <w:pStyle w:val="ListParagraph"/>
        <w:numPr>
          <w:ilvl w:val="0"/>
          <w:numId w:val="16"/>
        </w:numPr>
      </w:pPr>
      <w:r>
        <w:t>Signalling design for the indication of recommend and/or not-preferred IAB-MT’s beam(s) (from IAB-MT to parent-node)</w:t>
      </w:r>
    </w:p>
    <w:p w14:paraId="32F8F5D5" w14:textId="1D394444" w:rsidR="00105FAA" w:rsidRDefault="00105FAA" w:rsidP="00105FAA">
      <w:pPr>
        <w:pStyle w:val="ListParagraph"/>
        <w:numPr>
          <w:ilvl w:val="0"/>
          <w:numId w:val="16"/>
        </w:numPr>
      </w:pPr>
      <w:r>
        <w:t>Signalling design for the indication of restricted IAB-DU’s beam(s) (from parent-node to IAB-node)</w:t>
      </w:r>
    </w:p>
    <w:p w14:paraId="3D773DF0" w14:textId="486C500A" w:rsidR="00105FAA" w:rsidRPr="00105FAA" w:rsidRDefault="005468B8" w:rsidP="005468B8">
      <w:pPr>
        <w:pStyle w:val="Heading3"/>
        <w:rPr>
          <w:sz w:val="24"/>
        </w:rPr>
      </w:pPr>
      <w:r>
        <w:t>4</w:t>
      </w:r>
      <w:r w:rsidR="00105FAA">
        <w:t>.1 Signalling of</w:t>
      </w:r>
      <w:r w:rsidR="00105FAA" w:rsidRPr="00E90783">
        <w:t xml:space="preserve"> </w:t>
      </w:r>
      <w:r w:rsidR="00105FAA">
        <w:t>the recommended</w:t>
      </w:r>
      <w:r w:rsidR="00105FAA" w:rsidRPr="00E90783">
        <w:t xml:space="preserve"> </w:t>
      </w:r>
      <w:r w:rsidR="00105FAA">
        <w:t>and/or not-preferred IAB-MT’s beam(s)</w:t>
      </w:r>
    </w:p>
    <w:p w14:paraId="228FF7B5" w14:textId="77777777" w:rsidR="00105FAA" w:rsidRDefault="00105FAA" w:rsidP="00105FAA">
      <w:r w:rsidRPr="00022467">
        <w:t xml:space="preserve">There </w:t>
      </w:r>
      <w:r>
        <w:t xml:space="preserve">are a few aspects regarding the signalling design for the indication of IAB-MT’s beam recommendation. </w:t>
      </w:r>
    </w:p>
    <w:p w14:paraId="081E943A" w14:textId="77777777" w:rsidR="00105FAA" w:rsidRPr="00105FAA" w:rsidRDefault="00105FAA" w:rsidP="00105FAA">
      <w:pPr>
        <w:rPr>
          <w:b/>
          <w:bCs/>
          <w:i/>
          <w:iCs/>
        </w:rPr>
      </w:pPr>
      <w:r w:rsidRPr="00105FAA">
        <w:rPr>
          <w:b/>
          <w:bCs/>
          <w:i/>
          <w:iCs/>
        </w:rPr>
        <w:t>Indication of not-preferred beams?</w:t>
      </w:r>
    </w:p>
    <w:p w14:paraId="182934C3" w14:textId="77777777" w:rsidR="00105FAA" w:rsidRDefault="00105FAA" w:rsidP="00105FAA">
      <w:r>
        <w:t xml:space="preserve">It is FFS whether the indication of no-preferred beams is supported. We believe supporting such an indication will provide a more flexible and sometimes more efficient way to assist the parent-node. In one specific example, we note that an IAB-node may occasionally (or for some specific beam directions) not be able to support an enhanced multiplexing mode of operation. It is desired for the IAB-node to be able to provide such an indication (via “not-preferred” beam(s)) to the parent-node. In one extreme case, an enhanced multiplexing mode of operation may not be supported for any of the one or multiple MT’s beam(s) at a given time. In this case, the IAB-node should be able to indicate it needs to fall back to TDM-based operation. Being able to indicate “not-preferred” beam(s) can effectively provide a fall-back indication too. </w:t>
      </w:r>
    </w:p>
    <w:p w14:paraId="7FD9DF73" w14:textId="22C18504" w:rsidR="00105FAA" w:rsidRDefault="00105FAA" w:rsidP="00105FAA">
      <w:pPr>
        <w:rPr>
          <w:b/>
          <w:bCs/>
          <w:u w:val="single"/>
        </w:rPr>
      </w:pPr>
      <w:bookmarkStart w:id="9" w:name="_Hlk84017094"/>
      <w:r w:rsidRPr="00022467">
        <w:rPr>
          <w:b/>
          <w:bCs/>
          <w:u w:val="single"/>
        </w:rPr>
        <w:t xml:space="preserve">Observation </w:t>
      </w:r>
      <w:r w:rsidR="005468B8">
        <w:rPr>
          <w:b/>
          <w:bCs/>
          <w:u w:val="single"/>
        </w:rPr>
        <w:t>4</w:t>
      </w:r>
      <w:r w:rsidRPr="00022467">
        <w:rPr>
          <w:b/>
          <w:bCs/>
          <w:u w:val="single"/>
        </w:rPr>
        <w:t>.1:</w:t>
      </w:r>
    </w:p>
    <w:p w14:paraId="0BA37764" w14:textId="5386E4A3" w:rsidR="00105FAA" w:rsidRDefault="00105FAA" w:rsidP="00105FAA">
      <w:pPr>
        <w:rPr>
          <w:b/>
          <w:bCs/>
        </w:rPr>
      </w:pPr>
      <w:r>
        <w:rPr>
          <w:b/>
          <w:bCs/>
        </w:rPr>
        <w:lastRenderedPageBreak/>
        <w:t xml:space="preserve">Indication of “not-preferred” IAB-MT’s beam(s) (in addition or instead of recommended beam(s)) may provide more efficient and flexible </w:t>
      </w:r>
      <w:r w:rsidRPr="00022467">
        <w:rPr>
          <w:b/>
          <w:bCs/>
        </w:rPr>
        <w:t>assistance</w:t>
      </w:r>
      <w:r>
        <w:rPr>
          <w:b/>
          <w:bCs/>
        </w:rPr>
        <w:t xml:space="preserve"> information</w:t>
      </w:r>
      <w:r w:rsidRPr="00D3555A">
        <w:rPr>
          <w:b/>
          <w:bCs/>
        </w:rPr>
        <w:t xml:space="preserve">. It can </w:t>
      </w:r>
      <w:r>
        <w:rPr>
          <w:b/>
          <w:bCs/>
        </w:rPr>
        <w:t>also effectively be used to indicate required fallback to TDMing, when an enhanced multiplexing mode of operation is not supported.</w:t>
      </w:r>
    </w:p>
    <w:p w14:paraId="1927DE25" w14:textId="3F26D182" w:rsidR="00105FAA" w:rsidRPr="00022467" w:rsidRDefault="00105FAA" w:rsidP="00105FAA">
      <w:pPr>
        <w:rPr>
          <w:b/>
          <w:bCs/>
          <w:u w:val="single"/>
        </w:rPr>
      </w:pPr>
      <w:r w:rsidRPr="00022467">
        <w:rPr>
          <w:b/>
          <w:bCs/>
          <w:u w:val="single"/>
        </w:rPr>
        <w:t xml:space="preserve">Proposal </w:t>
      </w:r>
      <w:r w:rsidR="005468B8">
        <w:rPr>
          <w:b/>
          <w:bCs/>
          <w:u w:val="single"/>
        </w:rPr>
        <w:t>4</w:t>
      </w:r>
      <w:r w:rsidRPr="00022467">
        <w:rPr>
          <w:b/>
          <w:bCs/>
          <w:u w:val="single"/>
        </w:rPr>
        <w:t>.</w:t>
      </w:r>
      <w:r w:rsidR="005468B8">
        <w:rPr>
          <w:b/>
          <w:bCs/>
          <w:u w:val="single"/>
        </w:rPr>
        <w:t>1</w:t>
      </w:r>
      <w:r w:rsidRPr="00022467">
        <w:rPr>
          <w:b/>
          <w:bCs/>
          <w:u w:val="single"/>
        </w:rPr>
        <w:t>:</w:t>
      </w:r>
    </w:p>
    <w:p w14:paraId="77BC1717" w14:textId="4965AAAB" w:rsidR="00105FAA" w:rsidRDefault="00105FAA" w:rsidP="00105FAA">
      <w:pPr>
        <w:rPr>
          <w:b/>
          <w:bCs/>
        </w:rPr>
      </w:pPr>
      <w:r>
        <w:rPr>
          <w:b/>
          <w:bCs/>
        </w:rPr>
        <w:t>Further support indication of not-preferred IAB-MT’s beam(s) (for both TX and RX) to the parent-node.</w:t>
      </w:r>
      <w:bookmarkEnd w:id="9"/>
    </w:p>
    <w:p w14:paraId="05CECF5C" w14:textId="77777777" w:rsidR="00105FAA" w:rsidRPr="00105FAA" w:rsidRDefault="00105FAA" w:rsidP="00105FAA">
      <w:pPr>
        <w:rPr>
          <w:b/>
          <w:bCs/>
          <w:i/>
          <w:iCs/>
        </w:rPr>
      </w:pPr>
      <w:r w:rsidRPr="00105FAA">
        <w:rPr>
          <w:b/>
          <w:bCs/>
          <w:i/>
          <w:iCs/>
        </w:rPr>
        <w:t>Association between the indicated assistance information and time resources?</w:t>
      </w:r>
    </w:p>
    <w:p w14:paraId="12445267" w14:textId="29C0F104" w:rsidR="00105FAA" w:rsidRPr="00A60FFB" w:rsidRDefault="00105FAA" w:rsidP="00105FAA">
      <w:r>
        <w:t xml:space="preserve">The indication of recommended and/or not-preferred IAB-MT’s beam is to facilitate any of the enhanced multiplexing modes at the IAB-node. More specifically, IAB-MT may have different recommendations for different multiplexing modes. Hence, it is necessary for the parent-node to know when a recommended/not-preferred beam is applicable. </w:t>
      </w:r>
    </w:p>
    <w:p w14:paraId="6219E626" w14:textId="6DFCE5D0" w:rsidR="00105FAA" w:rsidRDefault="00105FAA" w:rsidP="00105FAA">
      <w:pPr>
        <w:rPr>
          <w:b/>
          <w:bCs/>
          <w:u w:val="single"/>
        </w:rPr>
      </w:pPr>
      <w:bookmarkStart w:id="10" w:name="_Hlk84017126"/>
      <w:r w:rsidRPr="00022467">
        <w:rPr>
          <w:b/>
          <w:bCs/>
          <w:u w:val="single"/>
        </w:rPr>
        <w:t xml:space="preserve">Observation </w:t>
      </w:r>
      <w:r w:rsidR="005468B8">
        <w:rPr>
          <w:b/>
          <w:bCs/>
          <w:u w:val="single"/>
        </w:rPr>
        <w:t>4</w:t>
      </w:r>
      <w:r w:rsidRPr="00022467">
        <w:rPr>
          <w:b/>
          <w:bCs/>
          <w:u w:val="single"/>
        </w:rPr>
        <w:t>.</w:t>
      </w:r>
      <w:r>
        <w:rPr>
          <w:b/>
          <w:bCs/>
          <w:u w:val="single"/>
        </w:rPr>
        <w:t>2</w:t>
      </w:r>
      <w:r w:rsidRPr="00022467">
        <w:rPr>
          <w:b/>
          <w:bCs/>
          <w:u w:val="single"/>
        </w:rPr>
        <w:t>:</w:t>
      </w:r>
    </w:p>
    <w:p w14:paraId="732E6383" w14:textId="07527F76" w:rsidR="00105FAA" w:rsidRDefault="00105FAA" w:rsidP="00105FAA">
      <w:pPr>
        <w:rPr>
          <w:b/>
          <w:bCs/>
        </w:rPr>
      </w:pPr>
      <w:r>
        <w:rPr>
          <w:b/>
          <w:bCs/>
        </w:rPr>
        <w:t>The parent-node should further be provided with information about the resources for which indicated recommended/not-preferred beam(s) are applicable.</w:t>
      </w:r>
      <w:bookmarkEnd w:id="10"/>
    </w:p>
    <w:p w14:paraId="58632198" w14:textId="59912C6F" w:rsidR="00105FAA" w:rsidRDefault="00105FAA" w:rsidP="00105FAA">
      <w:r>
        <w:t>To provide this information, the IAB-MT should either indicate an explicit set of time resources (e.g., at the granularity of slot level), or the IAB-MT may associate the indicated beams to a multiplexing mode and/or other related configurations. More specially, the desire of an IAB-node (about recommended/not-preferred IAB-MT’s beam(s)) may depend on any of the following factors:</w:t>
      </w:r>
    </w:p>
    <w:p w14:paraId="6E0CAB2B" w14:textId="77777777" w:rsidR="00105FAA" w:rsidRPr="00A60FFB" w:rsidRDefault="00105FAA" w:rsidP="00105FAA">
      <w:pPr>
        <w:pStyle w:val="ListParagraph"/>
        <w:numPr>
          <w:ilvl w:val="0"/>
          <w:numId w:val="16"/>
        </w:numPr>
        <w:jc w:val="both"/>
      </w:pPr>
      <w:r>
        <w:t>MT’s CC and/or (MT CC, DU cell) pair with simultaneous communications</w:t>
      </w:r>
    </w:p>
    <w:p w14:paraId="770F807C" w14:textId="77777777" w:rsidR="00105FAA" w:rsidRPr="00D967E0" w:rsidRDefault="00105FAA" w:rsidP="00105FAA">
      <w:pPr>
        <w:pStyle w:val="ListParagraph"/>
        <w:numPr>
          <w:ilvl w:val="0"/>
          <w:numId w:val="16"/>
        </w:numPr>
        <w:jc w:val="both"/>
      </w:pPr>
      <w:r>
        <w:t>Multiplexing mode of the IAB-node:</w:t>
      </w:r>
      <w:r w:rsidRPr="00D967E0">
        <w:t xml:space="preserve"> (MT RX, DU RX)</w:t>
      </w:r>
      <w:r>
        <w:t>,</w:t>
      </w:r>
      <w:r w:rsidRPr="00D967E0">
        <w:t xml:space="preserve"> (MT </w:t>
      </w:r>
      <w:r>
        <w:t>T</w:t>
      </w:r>
      <w:r w:rsidRPr="00D967E0">
        <w:t>X, DU TX)</w:t>
      </w:r>
      <w:r>
        <w:t xml:space="preserve">, </w:t>
      </w:r>
      <w:r w:rsidRPr="00D967E0">
        <w:t xml:space="preserve">(MT </w:t>
      </w:r>
      <w:r>
        <w:t>T</w:t>
      </w:r>
      <w:r w:rsidRPr="00D967E0">
        <w:t xml:space="preserve">X, DU </w:t>
      </w:r>
      <w:r>
        <w:t>R</w:t>
      </w:r>
      <w:r w:rsidRPr="00D967E0">
        <w:t>X)</w:t>
      </w:r>
      <w:r>
        <w:t xml:space="preserve">, </w:t>
      </w:r>
      <w:r w:rsidRPr="00D967E0">
        <w:t xml:space="preserve">(MT </w:t>
      </w:r>
      <w:r>
        <w:t>R</w:t>
      </w:r>
      <w:r w:rsidRPr="00D967E0">
        <w:t>X, DU TX)</w:t>
      </w:r>
      <w:r>
        <w:t>.</w:t>
      </w:r>
    </w:p>
    <w:p w14:paraId="28C11C98" w14:textId="77777777" w:rsidR="00105FAA" w:rsidRDefault="00105FAA" w:rsidP="00105FAA">
      <w:pPr>
        <w:pStyle w:val="ListParagraph"/>
        <w:numPr>
          <w:ilvl w:val="0"/>
          <w:numId w:val="16"/>
        </w:numPr>
        <w:jc w:val="both"/>
      </w:pPr>
      <w:r>
        <w:t>Whether the concurrent MT’s and DU’s communications are FDMed or not (i.e., being [partially] overlapping in the frequency domain)</w:t>
      </w:r>
    </w:p>
    <w:p w14:paraId="1372BD53" w14:textId="77777777" w:rsidR="00105FAA" w:rsidRPr="00A60FFB" w:rsidRDefault="00105FAA" w:rsidP="00105FAA">
      <w:pPr>
        <w:jc w:val="both"/>
      </w:pPr>
      <w:r w:rsidRPr="00A60FFB">
        <w:t xml:space="preserve">We </w:t>
      </w:r>
      <w:r>
        <w:t xml:space="preserve">believe explicit indication of time resources may lead to a large signaling overhead, and it is more efficient to associate the indicated beams to the relative configurations. </w:t>
      </w:r>
    </w:p>
    <w:p w14:paraId="33D5E548" w14:textId="77777777" w:rsidR="00105FAA" w:rsidRDefault="00105FAA" w:rsidP="00105FAA">
      <w:pPr>
        <w:rPr>
          <w:b/>
          <w:bCs/>
          <w:u w:val="single"/>
        </w:rPr>
      </w:pPr>
    </w:p>
    <w:p w14:paraId="2FC9C39D" w14:textId="080DCABE" w:rsidR="00105FAA" w:rsidRPr="004C17D0" w:rsidRDefault="00105FAA" w:rsidP="00105FAA">
      <w:pPr>
        <w:rPr>
          <w:b/>
          <w:bCs/>
          <w:u w:val="single"/>
        </w:rPr>
      </w:pPr>
      <w:bookmarkStart w:id="11" w:name="_Hlk84017144"/>
      <w:r>
        <w:rPr>
          <w:b/>
          <w:bCs/>
          <w:u w:val="single"/>
        </w:rPr>
        <w:t>Proposal</w:t>
      </w:r>
      <w:r w:rsidRPr="004C17D0">
        <w:rPr>
          <w:b/>
          <w:bCs/>
          <w:u w:val="single"/>
        </w:rPr>
        <w:t xml:space="preserve"> </w:t>
      </w:r>
      <w:r>
        <w:rPr>
          <w:b/>
          <w:bCs/>
          <w:u w:val="single"/>
        </w:rPr>
        <w:t>4</w:t>
      </w:r>
      <w:r w:rsidR="005468B8">
        <w:rPr>
          <w:b/>
          <w:bCs/>
          <w:u w:val="single"/>
        </w:rPr>
        <w:t>.2</w:t>
      </w:r>
      <w:r w:rsidRPr="004C17D0">
        <w:rPr>
          <w:b/>
          <w:bCs/>
          <w:u w:val="single"/>
        </w:rPr>
        <w:t>:</w:t>
      </w:r>
    </w:p>
    <w:p w14:paraId="6A622A4F" w14:textId="77777777" w:rsidR="00105FAA" w:rsidRPr="001B210B" w:rsidRDefault="00105FAA" w:rsidP="00105FAA">
      <w:pPr>
        <w:rPr>
          <w:b/>
          <w:bCs/>
          <w:lang w:eastAsia="ja-JP"/>
        </w:rPr>
      </w:pPr>
      <w:r w:rsidRPr="001B210B">
        <w:rPr>
          <w:b/>
          <w:bCs/>
          <w:szCs w:val="18"/>
          <w:lang w:eastAsia="ja-JP"/>
        </w:rPr>
        <w:t xml:space="preserve">The </w:t>
      </w:r>
      <w:r>
        <w:rPr>
          <w:b/>
          <w:bCs/>
          <w:szCs w:val="18"/>
          <w:lang w:eastAsia="ja-JP"/>
        </w:rPr>
        <w:t>recommended and/or not-preferred IAB-MT’s beam(s)</w:t>
      </w:r>
      <w:r w:rsidRPr="001B210B">
        <w:rPr>
          <w:b/>
          <w:bCs/>
          <w:szCs w:val="18"/>
          <w:lang w:eastAsia="ja-JP"/>
        </w:rPr>
        <w:t>, indicated by the IAB-MT to its parent-node, can be provided for:</w:t>
      </w:r>
    </w:p>
    <w:p w14:paraId="52FE1574" w14:textId="77777777" w:rsidR="00105FAA" w:rsidRPr="001B210B" w:rsidRDefault="00105FAA" w:rsidP="00105FAA">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t>A specific multiplexing mode – i.e., (MT RX, DU RX)</w:t>
      </w:r>
      <w:r>
        <w:rPr>
          <w:b/>
          <w:bCs/>
          <w:szCs w:val="18"/>
        </w:rPr>
        <w:t xml:space="preserve">, </w:t>
      </w:r>
      <w:r w:rsidRPr="001B210B">
        <w:rPr>
          <w:b/>
          <w:bCs/>
          <w:szCs w:val="18"/>
        </w:rPr>
        <w:t xml:space="preserve">(MT </w:t>
      </w:r>
      <w:r>
        <w:rPr>
          <w:b/>
          <w:bCs/>
          <w:szCs w:val="18"/>
        </w:rPr>
        <w:t>T</w:t>
      </w:r>
      <w:r w:rsidRPr="001B210B">
        <w:rPr>
          <w:b/>
          <w:bCs/>
          <w:szCs w:val="18"/>
        </w:rPr>
        <w:t>X, DU TX)</w:t>
      </w:r>
      <w:r>
        <w:rPr>
          <w:b/>
          <w:bCs/>
          <w:szCs w:val="18"/>
        </w:rPr>
        <w:t xml:space="preserve">, </w:t>
      </w:r>
      <w:r w:rsidRPr="001B210B">
        <w:rPr>
          <w:b/>
          <w:bCs/>
          <w:szCs w:val="18"/>
        </w:rPr>
        <w:t>(MT RX, DU TX)</w:t>
      </w:r>
      <w:r>
        <w:rPr>
          <w:b/>
          <w:bCs/>
          <w:szCs w:val="18"/>
        </w:rPr>
        <w:t xml:space="preserve">, </w:t>
      </w:r>
      <w:r w:rsidRPr="001B210B">
        <w:rPr>
          <w:b/>
          <w:bCs/>
          <w:szCs w:val="18"/>
        </w:rPr>
        <w:t xml:space="preserve">(MT </w:t>
      </w:r>
      <w:r>
        <w:rPr>
          <w:b/>
          <w:bCs/>
          <w:szCs w:val="18"/>
        </w:rPr>
        <w:t>T</w:t>
      </w:r>
      <w:r w:rsidRPr="001B210B">
        <w:rPr>
          <w:b/>
          <w:bCs/>
          <w:szCs w:val="18"/>
        </w:rPr>
        <w:t xml:space="preserve">X, DU </w:t>
      </w:r>
      <w:r>
        <w:rPr>
          <w:b/>
          <w:bCs/>
          <w:szCs w:val="18"/>
        </w:rPr>
        <w:t>R</w:t>
      </w:r>
      <w:r w:rsidRPr="001B210B">
        <w:rPr>
          <w:b/>
          <w:bCs/>
          <w:szCs w:val="18"/>
        </w:rPr>
        <w:t>X)</w:t>
      </w:r>
    </w:p>
    <w:p w14:paraId="7889ED89" w14:textId="77777777" w:rsidR="00105FAA" w:rsidRPr="001B210B" w:rsidRDefault="00105FAA" w:rsidP="00105FAA">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t>A given (MT CC, DU cell) pair</w:t>
      </w:r>
    </w:p>
    <w:p w14:paraId="5E6A9E46" w14:textId="77777777" w:rsidR="00105FAA" w:rsidRPr="001B210B" w:rsidRDefault="00105FAA" w:rsidP="00105FAA">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t xml:space="preserve">The cases where concurrent MT’s and DU’s </w:t>
      </w:r>
      <w:r>
        <w:rPr>
          <w:b/>
          <w:bCs/>
          <w:szCs w:val="18"/>
        </w:rPr>
        <w:t>communications</w:t>
      </w:r>
      <w:r w:rsidRPr="001B210B">
        <w:rPr>
          <w:b/>
          <w:bCs/>
          <w:szCs w:val="18"/>
        </w:rPr>
        <w:t xml:space="preserve"> are FDMed or overlap in the frequency domain. </w:t>
      </w:r>
    </w:p>
    <w:p w14:paraId="2547C130" w14:textId="6A7D9825" w:rsidR="00105FAA" w:rsidRPr="00105FAA" w:rsidRDefault="00105FAA" w:rsidP="00105FAA">
      <w:pPr>
        <w:rPr>
          <w:b/>
          <w:bCs/>
          <w:szCs w:val="18"/>
          <w:lang w:eastAsia="ja-JP"/>
        </w:rPr>
      </w:pPr>
      <w:r w:rsidRPr="001B210B">
        <w:rPr>
          <w:b/>
          <w:bCs/>
          <w:szCs w:val="18"/>
          <w:lang w:eastAsia="ja-JP"/>
        </w:rPr>
        <w:t>The indication is provided via MAC-CE.</w:t>
      </w:r>
      <w:bookmarkEnd w:id="11"/>
    </w:p>
    <w:p w14:paraId="4CCB0B0E" w14:textId="77777777" w:rsidR="00105FAA" w:rsidRDefault="00105FAA" w:rsidP="00105FAA">
      <w:r w:rsidRPr="00947A81">
        <w:t>We</w:t>
      </w:r>
      <w:r>
        <w:t xml:space="preserve"> further propose that the beam indications to be based on TCI state IDs (for MT’s DL RX beams), and SRI IDs (for MT’s UL TX beams).</w:t>
      </w:r>
    </w:p>
    <w:p w14:paraId="2473EFE7" w14:textId="55402A57" w:rsidR="00105FAA" w:rsidRPr="004C17D0" w:rsidRDefault="00105FAA" w:rsidP="00105FAA">
      <w:pPr>
        <w:rPr>
          <w:b/>
          <w:bCs/>
          <w:u w:val="single"/>
        </w:rPr>
      </w:pPr>
      <w:bookmarkStart w:id="12" w:name="_Hlk84017166"/>
      <w:r>
        <w:rPr>
          <w:b/>
          <w:bCs/>
          <w:u w:val="single"/>
        </w:rPr>
        <w:t>Proposal</w:t>
      </w:r>
      <w:r w:rsidRPr="004C17D0">
        <w:rPr>
          <w:b/>
          <w:bCs/>
          <w:u w:val="single"/>
        </w:rPr>
        <w:t xml:space="preserve"> </w:t>
      </w:r>
      <w:r w:rsidR="005468B8">
        <w:rPr>
          <w:b/>
          <w:bCs/>
          <w:u w:val="single"/>
        </w:rPr>
        <w:t>4.3</w:t>
      </w:r>
      <w:r w:rsidRPr="004C17D0">
        <w:rPr>
          <w:b/>
          <w:bCs/>
          <w:u w:val="single"/>
        </w:rPr>
        <w:t>:</w:t>
      </w:r>
    </w:p>
    <w:p w14:paraId="4ABCA7C1" w14:textId="682C21AC" w:rsidR="00105FAA" w:rsidRPr="00105FAA" w:rsidRDefault="00105FAA" w:rsidP="00105FAA">
      <w:pPr>
        <w:rPr>
          <w:b/>
          <w:bCs/>
          <w:lang w:eastAsia="ja-JP"/>
        </w:rPr>
      </w:pPr>
      <w:r w:rsidRPr="001B210B">
        <w:rPr>
          <w:b/>
          <w:bCs/>
          <w:szCs w:val="18"/>
          <w:lang w:eastAsia="ja-JP"/>
        </w:rPr>
        <w:t xml:space="preserve">The </w:t>
      </w:r>
      <w:r>
        <w:rPr>
          <w:b/>
          <w:bCs/>
          <w:szCs w:val="18"/>
          <w:lang w:eastAsia="ja-JP"/>
        </w:rPr>
        <w:t>recommended and/or not-preferred IAB-MT’s beam(s) are indicated based on IAB-MT’s TCI state IDs (for DL RX beam(s)), and SRI IDs (for UL TX beam(s)).</w:t>
      </w:r>
      <w:bookmarkEnd w:id="12"/>
    </w:p>
    <w:p w14:paraId="3BA9EAF1" w14:textId="4C0E52A4" w:rsidR="00105FAA" w:rsidRPr="00105FAA" w:rsidRDefault="005468B8" w:rsidP="005468B8">
      <w:pPr>
        <w:pStyle w:val="Heading3"/>
      </w:pPr>
      <w:r>
        <w:t>4</w:t>
      </w:r>
      <w:r w:rsidR="00105FAA">
        <w:t>.2 Signalling of</w:t>
      </w:r>
      <w:r w:rsidR="00105FAA" w:rsidRPr="00E90783">
        <w:t xml:space="preserve"> </w:t>
      </w:r>
      <w:r w:rsidR="00105FAA">
        <w:t>the IAB-DU’s restricted beam(s)</w:t>
      </w:r>
    </w:p>
    <w:p w14:paraId="00A6F439" w14:textId="77777777" w:rsidR="00105FAA" w:rsidRDefault="00105FAA" w:rsidP="00105FAA">
      <w:r>
        <w:t xml:space="preserve">The purpose of this indication by the parent-node is to facilitate enhanced multiplexing modes via limiting the potential negative impact of IAB-DU’s transmission on the IAB-MT’s and/or parent-node’s communications. Therefore, this restriction should be applicable only to the IAB-DU’s TX beams (and not RX beams).  </w:t>
      </w:r>
    </w:p>
    <w:p w14:paraId="1FF3EBED" w14:textId="58802C8D" w:rsidR="00105FAA" w:rsidRPr="004C17D0" w:rsidRDefault="00105FAA" w:rsidP="00105FAA">
      <w:pPr>
        <w:rPr>
          <w:b/>
          <w:bCs/>
          <w:u w:val="single"/>
        </w:rPr>
      </w:pPr>
      <w:bookmarkStart w:id="13" w:name="_Hlk84017193"/>
      <w:r>
        <w:rPr>
          <w:b/>
          <w:bCs/>
          <w:u w:val="single"/>
        </w:rPr>
        <w:t>Proposal</w:t>
      </w:r>
      <w:r w:rsidRPr="004C17D0">
        <w:rPr>
          <w:b/>
          <w:bCs/>
          <w:u w:val="single"/>
        </w:rPr>
        <w:t xml:space="preserve"> </w:t>
      </w:r>
      <w:r w:rsidR="005468B8">
        <w:rPr>
          <w:b/>
          <w:bCs/>
          <w:u w:val="single"/>
        </w:rPr>
        <w:t>4.4</w:t>
      </w:r>
      <w:r w:rsidRPr="004C17D0">
        <w:rPr>
          <w:b/>
          <w:bCs/>
          <w:u w:val="single"/>
        </w:rPr>
        <w:t>:</w:t>
      </w:r>
    </w:p>
    <w:p w14:paraId="2620A811" w14:textId="00639A3A" w:rsidR="00105FAA" w:rsidRPr="00105FAA" w:rsidRDefault="00105FAA" w:rsidP="00105FAA">
      <w:pPr>
        <w:rPr>
          <w:b/>
          <w:bCs/>
          <w:lang w:eastAsia="ja-JP"/>
        </w:rPr>
      </w:pPr>
      <w:r w:rsidRPr="001B210B">
        <w:rPr>
          <w:b/>
          <w:bCs/>
          <w:szCs w:val="18"/>
          <w:lang w:eastAsia="ja-JP"/>
        </w:rPr>
        <w:lastRenderedPageBreak/>
        <w:t xml:space="preserve">The </w:t>
      </w:r>
      <w:r>
        <w:rPr>
          <w:b/>
          <w:bCs/>
          <w:szCs w:val="18"/>
          <w:lang w:eastAsia="ja-JP"/>
        </w:rPr>
        <w:t>indication of the restricted IAB-DU’s beam(s)</w:t>
      </w:r>
      <w:r w:rsidRPr="001B210B">
        <w:rPr>
          <w:b/>
          <w:bCs/>
          <w:szCs w:val="18"/>
          <w:lang w:eastAsia="ja-JP"/>
        </w:rPr>
        <w:t xml:space="preserve">, </w:t>
      </w:r>
      <w:r>
        <w:rPr>
          <w:b/>
          <w:bCs/>
          <w:szCs w:val="18"/>
          <w:lang w:eastAsia="ja-JP"/>
        </w:rPr>
        <w:t xml:space="preserve">provided </w:t>
      </w:r>
      <w:r w:rsidRPr="001B210B">
        <w:rPr>
          <w:b/>
          <w:bCs/>
          <w:szCs w:val="18"/>
          <w:lang w:eastAsia="ja-JP"/>
        </w:rPr>
        <w:t xml:space="preserve">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 xml:space="preserve">the IAB-MT, </w:t>
      </w:r>
      <w:r>
        <w:rPr>
          <w:b/>
          <w:bCs/>
          <w:szCs w:val="18"/>
          <w:lang w:eastAsia="ja-JP"/>
        </w:rPr>
        <w:t>is only applicable to the IAB-DU’s DL TX beams.</w:t>
      </w:r>
      <w:bookmarkEnd w:id="13"/>
    </w:p>
    <w:p w14:paraId="18BB0C10" w14:textId="36772C5C" w:rsidR="00105FAA" w:rsidRDefault="00105FAA" w:rsidP="00105FAA">
      <w:r>
        <w:t>Next, we should determine how this beam indication is provided – i.e., how a parent-node refers to a beam at the IAB-DU. The parent-node may already know about the IAB-DU’s SSB TX configurations (STC) and CSI-RS configuration. This information is provided optionally by the CU over F1 interface and can also serve as a reference for IAB-DU’s beam indication in the above context. However, the IAB-DU may have multiple (up to 5) STCs and may adopt different beamforming configurations for the SSBs associated with different STCs. Different STCs may indeed have different number and location of SSBs within a burst set. Hence, when referring to an SSB index, it should further be clarified which IAB-DU’s STC it is associated with.</w:t>
      </w:r>
    </w:p>
    <w:p w14:paraId="5ACA8E50" w14:textId="1026C0B9" w:rsidR="00105FAA" w:rsidRDefault="00105FAA" w:rsidP="00105FAA">
      <w:pPr>
        <w:rPr>
          <w:b/>
          <w:bCs/>
          <w:u w:val="single"/>
        </w:rPr>
      </w:pPr>
      <w:bookmarkStart w:id="14" w:name="_Hlk84017207"/>
      <w:r>
        <w:t xml:space="preserve"> </w:t>
      </w:r>
      <w:r w:rsidRPr="00022467">
        <w:rPr>
          <w:b/>
          <w:bCs/>
          <w:u w:val="single"/>
        </w:rPr>
        <w:t xml:space="preserve">Observation </w:t>
      </w:r>
      <w:r w:rsidR="005468B8">
        <w:rPr>
          <w:b/>
          <w:bCs/>
          <w:u w:val="single"/>
        </w:rPr>
        <w:t>4.1</w:t>
      </w:r>
      <w:r w:rsidRPr="00022467">
        <w:rPr>
          <w:b/>
          <w:bCs/>
          <w:u w:val="single"/>
        </w:rPr>
        <w:t>:</w:t>
      </w:r>
    </w:p>
    <w:p w14:paraId="27C27E5D" w14:textId="77777777" w:rsidR="00105FAA" w:rsidRDefault="00105FAA" w:rsidP="00105FAA">
      <w:pPr>
        <w:rPr>
          <w:b/>
          <w:bCs/>
        </w:rPr>
      </w:pPr>
      <w:r>
        <w:rPr>
          <w:b/>
          <w:bCs/>
        </w:rPr>
        <w:t>The parent-node may know about the IAB-DU’s STC and CSI-RS configurations and use them a reference to indicate IAB-DU’s beam(s).</w:t>
      </w:r>
    </w:p>
    <w:p w14:paraId="3951F9C5" w14:textId="11569201" w:rsidR="00105FAA" w:rsidRDefault="00105FAA" w:rsidP="00105FAA">
      <w:pPr>
        <w:rPr>
          <w:b/>
          <w:bCs/>
        </w:rPr>
      </w:pPr>
      <w:r>
        <w:rPr>
          <w:b/>
          <w:bCs/>
        </w:rPr>
        <w:t xml:space="preserve">Different IAB-DU’s STCs may be associated with different beamforming configurations. </w:t>
      </w:r>
    </w:p>
    <w:p w14:paraId="18E7D382" w14:textId="546A726C" w:rsidR="00105FAA" w:rsidRDefault="00105FAA" w:rsidP="00105FAA">
      <w:pPr>
        <w:rPr>
          <w:b/>
          <w:bCs/>
          <w:u w:val="single"/>
        </w:rPr>
      </w:pPr>
      <w:r>
        <w:rPr>
          <w:b/>
          <w:bCs/>
          <w:u w:val="single"/>
        </w:rPr>
        <w:t>Proposal</w:t>
      </w:r>
      <w:r w:rsidRPr="00022467">
        <w:rPr>
          <w:b/>
          <w:bCs/>
          <w:u w:val="single"/>
        </w:rPr>
        <w:t xml:space="preserve"> </w:t>
      </w:r>
      <w:r w:rsidR="005468B8">
        <w:rPr>
          <w:b/>
          <w:bCs/>
          <w:u w:val="single"/>
        </w:rPr>
        <w:t>4.5</w:t>
      </w:r>
      <w:r w:rsidRPr="00022467">
        <w:rPr>
          <w:b/>
          <w:bCs/>
          <w:u w:val="single"/>
        </w:rPr>
        <w:t>:</w:t>
      </w:r>
    </w:p>
    <w:p w14:paraId="10A9ED02" w14:textId="77777777" w:rsidR="00105FAA" w:rsidRDefault="00105FAA" w:rsidP="00105FAA">
      <w:pPr>
        <w:rPr>
          <w:b/>
          <w:bCs/>
          <w:szCs w:val="18"/>
          <w:lang w:eastAsia="ja-JP"/>
        </w:rPr>
      </w:pPr>
      <w:r w:rsidRPr="001B210B">
        <w:rPr>
          <w:b/>
          <w:bCs/>
          <w:szCs w:val="18"/>
          <w:lang w:eastAsia="ja-JP"/>
        </w:rPr>
        <w:t xml:space="preserve">The </w:t>
      </w:r>
      <w:r>
        <w:rPr>
          <w:b/>
          <w:bCs/>
          <w:szCs w:val="18"/>
          <w:lang w:eastAsia="ja-JP"/>
        </w:rPr>
        <w:t>indication of the restricted IAB-DU’s beam(s)</w:t>
      </w:r>
      <w:r w:rsidRPr="001B210B">
        <w:rPr>
          <w:b/>
          <w:bCs/>
          <w:szCs w:val="18"/>
          <w:lang w:eastAsia="ja-JP"/>
        </w:rPr>
        <w:t xml:space="preserve">, </w:t>
      </w:r>
      <w:r>
        <w:rPr>
          <w:b/>
          <w:bCs/>
          <w:szCs w:val="18"/>
          <w:lang w:eastAsia="ja-JP"/>
        </w:rPr>
        <w:t xml:space="preserve">provided </w:t>
      </w:r>
      <w:r w:rsidRPr="001B210B">
        <w:rPr>
          <w:b/>
          <w:bCs/>
          <w:szCs w:val="18"/>
          <w:lang w:eastAsia="ja-JP"/>
        </w:rPr>
        <w:t xml:space="preserve">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the IAB-MT</w:t>
      </w:r>
      <w:r>
        <w:rPr>
          <w:b/>
          <w:bCs/>
          <w:szCs w:val="18"/>
          <w:lang w:eastAsia="ja-JP"/>
        </w:rPr>
        <w:t>, is via referring to any of the following</w:t>
      </w:r>
    </w:p>
    <w:p w14:paraId="61F623D7" w14:textId="77777777" w:rsidR="00105FAA" w:rsidRDefault="00105FAA" w:rsidP="00105FAA">
      <w:pPr>
        <w:pStyle w:val="ListParagraph"/>
        <w:numPr>
          <w:ilvl w:val="0"/>
          <w:numId w:val="16"/>
        </w:numPr>
        <w:rPr>
          <w:b/>
          <w:bCs/>
        </w:rPr>
      </w:pPr>
      <w:r>
        <w:rPr>
          <w:b/>
          <w:bCs/>
        </w:rPr>
        <w:t>IAB-DU’s CSI-RS resource indices</w:t>
      </w:r>
    </w:p>
    <w:p w14:paraId="6D84772C" w14:textId="77BA7221" w:rsidR="00105FAA" w:rsidRPr="00105FAA" w:rsidRDefault="00105FAA" w:rsidP="00105FAA">
      <w:pPr>
        <w:pStyle w:val="ListParagraph"/>
        <w:numPr>
          <w:ilvl w:val="0"/>
          <w:numId w:val="16"/>
        </w:numPr>
        <w:rPr>
          <w:b/>
          <w:bCs/>
        </w:rPr>
      </w:pPr>
      <w:r>
        <w:rPr>
          <w:b/>
          <w:bCs/>
        </w:rPr>
        <w:t>IAB-DU’s SSB and STC indices</w:t>
      </w:r>
      <w:bookmarkEnd w:id="14"/>
    </w:p>
    <w:p w14:paraId="6C1A44B2" w14:textId="70AEA884" w:rsidR="00105FAA" w:rsidRDefault="00105FAA" w:rsidP="00105FAA">
      <w:r>
        <w:t xml:space="preserve">The indication of the restricted IAB-DU’s beams, provided by the parent-node, should further be associated with some specific time resources and/or multiplexing modes. Hence, the question is whether this indication is accompanied with an explicit indication of associated time resources, or it is associated with a multiplexing mode and possibly other parameters. We propose the latter, due to a larger signaling overhead of the former option. We further propose for this indication to support different MT’s spatial configurations. </w:t>
      </w:r>
    </w:p>
    <w:p w14:paraId="46CA569A" w14:textId="49E970CB" w:rsidR="00105FAA" w:rsidRPr="004C17D0" w:rsidRDefault="00105FAA" w:rsidP="00105FAA">
      <w:pPr>
        <w:rPr>
          <w:b/>
          <w:bCs/>
          <w:u w:val="single"/>
        </w:rPr>
      </w:pPr>
      <w:bookmarkStart w:id="15" w:name="_Hlk84017234"/>
      <w:r>
        <w:rPr>
          <w:b/>
          <w:bCs/>
          <w:u w:val="single"/>
        </w:rPr>
        <w:t>Proposal</w:t>
      </w:r>
      <w:r w:rsidRPr="004C17D0">
        <w:rPr>
          <w:b/>
          <w:bCs/>
          <w:u w:val="single"/>
        </w:rPr>
        <w:t xml:space="preserve"> </w:t>
      </w:r>
      <w:r w:rsidR="005468B8">
        <w:rPr>
          <w:b/>
          <w:bCs/>
          <w:u w:val="single"/>
        </w:rPr>
        <w:t>4.6</w:t>
      </w:r>
      <w:r w:rsidRPr="004C17D0">
        <w:rPr>
          <w:b/>
          <w:bCs/>
          <w:u w:val="single"/>
        </w:rPr>
        <w:t>:</w:t>
      </w:r>
    </w:p>
    <w:p w14:paraId="5B692830" w14:textId="77777777" w:rsidR="00105FAA" w:rsidRPr="001B210B" w:rsidRDefault="00105FAA" w:rsidP="00105FAA">
      <w:pPr>
        <w:rPr>
          <w:b/>
          <w:bCs/>
          <w:lang w:eastAsia="ja-JP"/>
        </w:rPr>
      </w:pPr>
      <w:r w:rsidRPr="001B210B">
        <w:rPr>
          <w:b/>
          <w:bCs/>
          <w:szCs w:val="18"/>
          <w:lang w:eastAsia="ja-JP"/>
        </w:rPr>
        <w:t xml:space="preserve">The </w:t>
      </w:r>
      <w:r>
        <w:rPr>
          <w:b/>
          <w:bCs/>
          <w:szCs w:val="18"/>
          <w:lang w:eastAsia="ja-JP"/>
        </w:rPr>
        <w:t>restricted IAB-DU’s beam(s)</w:t>
      </w:r>
      <w:r w:rsidRPr="001B210B">
        <w:rPr>
          <w:b/>
          <w:bCs/>
          <w:szCs w:val="18"/>
          <w:lang w:eastAsia="ja-JP"/>
        </w:rPr>
        <w:t xml:space="preserve">, indicated 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the IAB-MT, can be provided for:</w:t>
      </w:r>
    </w:p>
    <w:p w14:paraId="6C3795E6" w14:textId="77777777" w:rsidR="00105FAA" w:rsidRPr="001B210B" w:rsidRDefault="00105FAA" w:rsidP="00105FAA">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t xml:space="preserve">A specific multiplexing mode – i.e., (MT </w:t>
      </w:r>
      <w:r>
        <w:rPr>
          <w:b/>
          <w:bCs/>
          <w:szCs w:val="18"/>
        </w:rPr>
        <w:t>T</w:t>
      </w:r>
      <w:r w:rsidRPr="001B210B">
        <w:rPr>
          <w:b/>
          <w:bCs/>
          <w:szCs w:val="18"/>
        </w:rPr>
        <w:t>X, DU TX)</w:t>
      </w:r>
      <w:r>
        <w:rPr>
          <w:b/>
          <w:bCs/>
          <w:szCs w:val="18"/>
        </w:rPr>
        <w:t xml:space="preserve">, </w:t>
      </w:r>
      <w:r w:rsidRPr="001B210B">
        <w:rPr>
          <w:b/>
          <w:bCs/>
          <w:szCs w:val="18"/>
        </w:rPr>
        <w:t>(MT RX, DU TX)</w:t>
      </w:r>
    </w:p>
    <w:p w14:paraId="2B7E77F1" w14:textId="77777777" w:rsidR="00105FAA" w:rsidRDefault="00105FAA" w:rsidP="00105FAA">
      <w:pPr>
        <w:pStyle w:val="ListParagraph"/>
        <w:numPr>
          <w:ilvl w:val="0"/>
          <w:numId w:val="16"/>
        </w:numPr>
        <w:overflowPunct/>
        <w:autoSpaceDE/>
        <w:autoSpaceDN/>
        <w:adjustRightInd/>
        <w:spacing w:after="160" w:line="259" w:lineRule="auto"/>
        <w:textAlignment w:val="auto"/>
        <w:rPr>
          <w:b/>
          <w:bCs/>
          <w:szCs w:val="18"/>
        </w:rPr>
      </w:pPr>
      <w:r>
        <w:rPr>
          <w:b/>
          <w:bCs/>
          <w:szCs w:val="18"/>
        </w:rPr>
        <w:t>A given MT’s TX/RX beam</w:t>
      </w:r>
    </w:p>
    <w:p w14:paraId="2DCC14DF" w14:textId="77777777" w:rsidR="00105FAA" w:rsidRPr="001B210B" w:rsidRDefault="00105FAA" w:rsidP="00105FAA">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t>A given (MT CC, DU cell) pair</w:t>
      </w:r>
    </w:p>
    <w:p w14:paraId="6098F877" w14:textId="1EC405A7" w:rsidR="00105FAA" w:rsidRPr="00105FAA" w:rsidRDefault="00105FAA" w:rsidP="00105FAA">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t xml:space="preserve">The cases where concurrent MT’s and DU’s </w:t>
      </w:r>
      <w:r>
        <w:rPr>
          <w:b/>
          <w:bCs/>
          <w:szCs w:val="18"/>
        </w:rPr>
        <w:t>communications</w:t>
      </w:r>
      <w:r w:rsidRPr="001B210B">
        <w:rPr>
          <w:b/>
          <w:bCs/>
          <w:szCs w:val="18"/>
        </w:rPr>
        <w:t xml:space="preserve"> are FDMed or overlap in the frequency domain.</w:t>
      </w:r>
      <w:bookmarkEnd w:id="15"/>
      <w:r w:rsidRPr="001B210B">
        <w:rPr>
          <w:b/>
          <w:bCs/>
          <w:szCs w:val="18"/>
        </w:rPr>
        <w:t xml:space="preserve"> </w:t>
      </w:r>
    </w:p>
    <w:p w14:paraId="574436F4" w14:textId="250EF189" w:rsidR="00105FAA" w:rsidRPr="005468B8" w:rsidRDefault="00105FAA" w:rsidP="00105FAA">
      <w:r>
        <w:t xml:space="preserve">Finally, we note that although an IAB-node may be provided with such an indication of restricted IAB-DU’s beams, it may not be able to follow such a restriction. Simply because IAB-DU may not have any other option to serve a child-node, on a restricted beam direction, with a required/desired performance or quality. For example, it may not have sufficient resources available to serve the child-node’s critical traffic. It should also be noted that when a resource is given as HARD to an IAB-DU, by definition, the IAB-DU scheduler is guaranteed to have the flexibility of using this resource, and the parent-node cannot/should not impose further restrictions. Hence, the indication of the restricted IAB-DU’s beams should be considered as a recommendation from the parent-node without any mandated behavior at the IAB-DU. </w:t>
      </w:r>
    </w:p>
    <w:p w14:paraId="6EFD1271" w14:textId="7826F849" w:rsidR="00105FAA" w:rsidRPr="004C17D0" w:rsidRDefault="00105FAA" w:rsidP="00105FAA">
      <w:pPr>
        <w:rPr>
          <w:b/>
          <w:bCs/>
          <w:u w:val="single"/>
        </w:rPr>
      </w:pPr>
      <w:bookmarkStart w:id="16" w:name="_Hlk84017267"/>
      <w:r>
        <w:rPr>
          <w:b/>
          <w:bCs/>
          <w:u w:val="single"/>
        </w:rPr>
        <w:t>Proposal</w:t>
      </w:r>
      <w:r w:rsidRPr="004C17D0">
        <w:rPr>
          <w:b/>
          <w:bCs/>
          <w:u w:val="single"/>
        </w:rPr>
        <w:t xml:space="preserve"> </w:t>
      </w:r>
      <w:r w:rsidR="005468B8">
        <w:rPr>
          <w:b/>
          <w:bCs/>
          <w:u w:val="single"/>
        </w:rPr>
        <w:t>4.7</w:t>
      </w:r>
      <w:r w:rsidRPr="004C17D0">
        <w:rPr>
          <w:b/>
          <w:bCs/>
          <w:u w:val="single"/>
        </w:rPr>
        <w:t>:</w:t>
      </w:r>
    </w:p>
    <w:p w14:paraId="7DB97727" w14:textId="77777777" w:rsidR="00105FAA" w:rsidRDefault="00105FAA" w:rsidP="00105FAA">
      <w:pPr>
        <w:rPr>
          <w:b/>
          <w:bCs/>
          <w:szCs w:val="18"/>
          <w:lang w:eastAsia="ja-JP"/>
        </w:rPr>
      </w:pPr>
      <w:r w:rsidRPr="001B210B">
        <w:rPr>
          <w:b/>
          <w:bCs/>
          <w:szCs w:val="18"/>
          <w:lang w:eastAsia="ja-JP"/>
        </w:rPr>
        <w:t xml:space="preserve">The </w:t>
      </w:r>
      <w:r>
        <w:rPr>
          <w:b/>
          <w:bCs/>
          <w:szCs w:val="18"/>
          <w:lang w:eastAsia="ja-JP"/>
        </w:rPr>
        <w:t>indication of the restricted IAB-DU’s beam(s), provided by the parent-node, is considered as a recommendation, without any mandated behavior at the IAB-DU, at least for the IAB-DU’s HARD resources.</w:t>
      </w:r>
    </w:p>
    <w:p w14:paraId="2180EB4B" w14:textId="42F9C1F8" w:rsidR="00105FAA" w:rsidRPr="005468B8" w:rsidRDefault="00105FAA" w:rsidP="00105FAA">
      <w:pPr>
        <w:pStyle w:val="ListParagraph"/>
        <w:numPr>
          <w:ilvl w:val="0"/>
          <w:numId w:val="16"/>
        </w:numPr>
        <w:rPr>
          <w:b/>
          <w:bCs/>
        </w:rPr>
      </w:pPr>
      <w:r w:rsidRPr="001E6411">
        <w:rPr>
          <w:b/>
          <w:bCs/>
        </w:rPr>
        <w:t xml:space="preserve">FFS: </w:t>
      </w:r>
      <w:r>
        <w:rPr>
          <w:b/>
          <w:bCs/>
        </w:rPr>
        <w:t>expected behaviour of the IAB-DU regarding the indication of restricted beams within its SOFT resources.</w:t>
      </w:r>
      <w:bookmarkEnd w:id="16"/>
    </w:p>
    <w:p w14:paraId="4C2EA3D5" w14:textId="62D8F1AF" w:rsidR="00347C4D" w:rsidRDefault="005468B8" w:rsidP="00347C4D">
      <w:pPr>
        <w:pStyle w:val="Heading2"/>
      </w:pPr>
      <w:r>
        <w:lastRenderedPageBreak/>
        <w:t>5</w:t>
      </w:r>
      <w:r w:rsidR="004A1110">
        <w:t xml:space="preserve">. </w:t>
      </w:r>
      <w:r w:rsidR="00347C4D">
        <w:t>Multi-parent support for IAB in Rel-17</w:t>
      </w:r>
    </w:p>
    <w:p w14:paraId="1B4658C4" w14:textId="68486672" w:rsidR="00347C4D" w:rsidRDefault="0003137F" w:rsidP="00347C4D">
      <w:pPr>
        <w:pStyle w:val="Heading3"/>
      </w:pPr>
      <w:r>
        <w:t>5</w:t>
      </w:r>
      <w:r w:rsidR="00347C4D">
        <w:t>.1 Supporting TDD conflict resolution for NR-DC</w:t>
      </w:r>
    </w:p>
    <w:p w14:paraId="3C518707" w14:textId="41CDAF37" w:rsidR="0003137F" w:rsidRDefault="0003137F" w:rsidP="0003137F">
      <w:r>
        <w:t xml:space="preserve">The following agreements have been made in RAN1-106e [2] regarding TDD confliction resolution for NR-DC in IAB-network.  </w:t>
      </w:r>
    </w:p>
    <w:tbl>
      <w:tblPr>
        <w:tblStyle w:val="TableGrid"/>
        <w:tblW w:w="0" w:type="auto"/>
        <w:tblLook w:val="04A0" w:firstRow="1" w:lastRow="0" w:firstColumn="1" w:lastColumn="0" w:noHBand="0" w:noVBand="1"/>
      </w:tblPr>
      <w:tblGrid>
        <w:gridCol w:w="9629"/>
      </w:tblGrid>
      <w:tr w:rsidR="001715D9" w14:paraId="287312BE" w14:textId="77777777" w:rsidTr="001715D9">
        <w:tc>
          <w:tcPr>
            <w:tcW w:w="9629" w:type="dxa"/>
          </w:tcPr>
          <w:p w14:paraId="5356C5DD" w14:textId="77777777" w:rsidR="00865603" w:rsidRPr="00DA64B4" w:rsidRDefault="00865603" w:rsidP="00865603">
            <w:pPr>
              <w:spacing w:after="0"/>
              <w:rPr>
                <w:rFonts w:cs="Times"/>
                <w:b/>
                <w:highlight w:val="green"/>
              </w:rPr>
            </w:pPr>
            <w:r w:rsidRPr="00DA64B4">
              <w:rPr>
                <w:rFonts w:cs="Times"/>
                <w:b/>
                <w:highlight w:val="green"/>
              </w:rPr>
              <w:t>Agreement</w:t>
            </w:r>
          </w:p>
          <w:p w14:paraId="42F1A419" w14:textId="77777777" w:rsidR="00865603" w:rsidRPr="00DA64B4" w:rsidRDefault="00865603" w:rsidP="00865603">
            <w:pPr>
              <w:spacing w:after="0"/>
              <w:rPr>
                <w:rFonts w:cs="Times"/>
                <w:bCs/>
                <w:color w:val="000000"/>
                <w:kern w:val="24"/>
              </w:rPr>
            </w:pPr>
            <w:r w:rsidRPr="00DA64B4">
              <w:rPr>
                <w:rFonts w:cs="Times"/>
                <w:bCs/>
                <w:color w:val="000000"/>
                <w:kern w:val="24"/>
              </w:rPr>
              <w:t>The following solutions are supported to handle potential indication conflict of overlapping flexible symbols between two parent IAB-nodes:</w:t>
            </w:r>
          </w:p>
          <w:p w14:paraId="4B3133BD" w14:textId="77777777" w:rsidR="00865603" w:rsidRPr="00DA64B4" w:rsidRDefault="00865603" w:rsidP="00865603">
            <w:pPr>
              <w:pStyle w:val="ListParagraph"/>
              <w:numPr>
                <w:ilvl w:val="0"/>
                <w:numId w:val="18"/>
              </w:numPr>
              <w:overflowPunct/>
              <w:autoSpaceDE/>
              <w:autoSpaceDN/>
              <w:adjustRightInd/>
              <w:spacing w:after="0"/>
              <w:jc w:val="both"/>
              <w:textAlignment w:val="auto"/>
              <w:rPr>
                <w:rFonts w:cs="Times"/>
                <w:bCs/>
                <w:color w:val="000000"/>
                <w:kern w:val="24"/>
              </w:rPr>
            </w:pPr>
            <w:r w:rsidRPr="00DA64B4">
              <w:rPr>
                <w:rFonts w:cs="Times"/>
                <w:bCs/>
                <w:color w:val="000000"/>
                <w:kern w:val="24"/>
              </w:rPr>
              <w:t xml:space="preserve">In intra-donor DC scenarios, if the IAB MT does not support simultaneous Tx and Rx on different carriers, it does not expect to receive conflicting DCI 2_0 from different parents. </w:t>
            </w:r>
          </w:p>
          <w:p w14:paraId="399ABFA3" w14:textId="77777777" w:rsidR="00865603" w:rsidRPr="00DA64B4" w:rsidRDefault="00865603" w:rsidP="00865603">
            <w:pPr>
              <w:rPr>
                <w:rFonts w:cs="Times"/>
                <w:lang w:eastAsia="x-none"/>
              </w:rPr>
            </w:pPr>
          </w:p>
          <w:p w14:paraId="00B6B23A" w14:textId="77777777" w:rsidR="00865603" w:rsidRPr="00DA64B4" w:rsidRDefault="00865603" w:rsidP="00865603">
            <w:pPr>
              <w:spacing w:after="0"/>
              <w:rPr>
                <w:rFonts w:cs="Times"/>
                <w:b/>
                <w:highlight w:val="green"/>
              </w:rPr>
            </w:pPr>
            <w:r w:rsidRPr="00DA64B4">
              <w:rPr>
                <w:rFonts w:cs="Times"/>
                <w:b/>
                <w:highlight w:val="green"/>
              </w:rPr>
              <w:t>Agreement</w:t>
            </w:r>
          </w:p>
          <w:p w14:paraId="339C6572" w14:textId="77777777" w:rsidR="001715D9" w:rsidRDefault="00865603" w:rsidP="00865603">
            <w:pPr>
              <w:spacing w:after="0"/>
              <w:rPr>
                <w:rFonts w:cs="Times"/>
                <w:bCs/>
                <w:color w:val="000000"/>
                <w:kern w:val="24"/>
              </w:rPr>
            </w:pPr>
            <w:r w:rsidRPr="00DA64B4">
              <w:rPr>
                <w:rFonts w:cs="Times"/>
                <w:bCs/>
                <w:color w:val="000000"/>
                <w:kern w:val="24"/>
              </w:rPr>
              <w:t>The IAB-donor-CU can be made aware of the IAB-MT’s capability regarding simultaneous transmission and reception on multiple serving cells in a frequency band, configured by the two parent nodes in intra-donor DC scenarios.</w:t>
            </w:r>
          </w:p>
          <w:p w14:paraId="3CF518FC" w14:textId="77777777" w:rsidR="00865603" w:rsidRDefault="00865603" w:rsidP="00865603">
            <w:pPr>
              <w:spacing w:after="0"/>
              <w:rPr>
                <w:rFonts w:cs="Times"/>
                <w:bCs/>
                <w:color w:val="000000"/>
                <w:kern w:val="24"/>
              </w:rPr>
            </w:pPr>
          </w:p>
          <w:p w14:paraId="63B5B8A7" w14:textId="77777777" w:rsidR="00865603" w:rsidRPr="00AA0687" w:rsidRDefault="00865603" w:rsidP="00865603">
            <w:pPr>
              <w:shd w:val="clear" w:color="auto" w:fill="FFFFFF"/>
              <w:spacing w:after="0"/>
              <w:jc w:val="both"/>
              <w:rPr>
                <w:rFonts w:cs="Times"/>
                <w:b/>
                <w:bCs/>
                <w:color w:val="222222"/>
                <w:shd w:val="clear" w:color="auto" w:fill="00FF00"/>
                <w:lang w:eastAsia="ko-KR"/>
              </w:rPr>
            </w:pPr>
            <w:r w:rsidRPr="00AA0687">
              <w:rPr>
                <w:rFonts w:cs="Times"/>
                <w:b/>
                <w:bCs/>
                <w:color w:val="222222"/>
                <w:shd w:val="clear" w:color="auto" w:fill="00FF00"/>
                <w:lang w:eastAsia="ko-KR"/>
              </w:rPr>
              <w:t>Agreement</w:t>
            </w:r>
          </w:p>
          <w:p w14:paraId="4D79D235" w14:textId="77777777" w:rsidR="00865603" w:rsidRPr="00AA0687" w:rsidRDefault="00865603" w:rsidP="00865603">
            <w:pPr>
              <w:shd w:val="clear" w:color="auto" w:fill="FFFFFF"/>
              <w:spacing w:after="0"/>
              <w:jc w:val="both"/>
              <w:rPr>
                <w:rFonts w:cs="Times"/>
                <w:color w:val="222222"/>
                <w:lang w:eastAsia="ko-KR"/>
              </w:rPr>
            </w:pPr>
            <w:r w:rsidRPr="00AA0687">
              <w:rPr>
                <w:rFonts w:cs="Times"/>
                <w:color w:val="222222"/>
                <w:lang w:eastAsia="ko-KR"/>
              </w:rPr>
              <w:t>To support extension of CA TDD prioritization rules to NR-DC, the following resource coordination mechanisms between parents/donors are supported:</w:t>
            </w:r>
          </w:p>
          <w:p w14:paraId="728738D4" w14:textId="77777777" w:rsidR="00865603" w:rsidRDefault="00865603" w:rsidP="00865603">
            <w:pPr>
              <w:pStyle w:val="ListParagraph"/>
              <w:numPr>
                <w:ilvl w:val="0"/>
                <w:numId w:val="19"/>
              </w:numPr>
              <w:overflowPunct/>
              <w:autoSpaceDE/>
              <w:autoSpaceDN/>
              <w:adjustRightInd/>
              <w:spacing w:after="0"/>
              <w:jc w:val="both"/>
              <w:textAlignment w:val="auto"/>
              <w:rPr>
                <w:rFonts w:eastAsia="Calibri" w:cs="Times"/>
                <w:bCs/>
              </w:rPr>
            </w:pPr>
            <w:r w:rsidRPr="00AA0687">
              <w:rPr>
                <w:rFonts w:eastAsia="Calibri" w:cs="Times"/>
                <w:bCs/>
              </w:rPr>
              <w:t>For intra-donor and inter-donor DC scenarios, in addition to coordination at the donor CU(s), a parent-node can be made aware of the DU resource configuration (UL/DL/FL, H/S/NA) of the other peer parent node that connects to the same IAB-node.</w:t>
            </w:r>
          </w:p>
          <w:p w14:paraId="65A25660" w14:textId="77777777" w:rsidR="00865603" w:rsidRDefault="00865603" w:rsidP="00865603">
            <w:pPr>
              <w:pStyle w:val="ListParagraph"/>
              <w:numPr>
                <w:ilvl w:val="0"/>
                <w:numId w:val="19"/>
              </w:numPr>
              <w:overflowPunct/>
              <w:autoSpaceDE/>
              <w:autoSpaceDN/>
              <w:adjustRightInd/>
              <w:spacing w:after="0"/>
              <w:jc w:val="both"/>
              <w:textAlignment w:val="auto"/>
              <w:rPr>
                <w:rFonts w:eastAsia="Calibri" w:cs="Times"/>
                <w:bCs/>
              </w:rPr>
            </w:pPr>
            <w:r w:rsidRPr="00865603">
              <w:rPr>
                <w:rFonts w:eastAsia="Calibri" w:cs="Times"/>
                <w:bCs/>
              </w:rPr>
              <w:t>For intra-donor and inter-donor DC scenarios, coordinating the semi-static and/or cell-common higher layer configuration (e.g. SSB, CORESET 0, and RACH and configurations) from/for different parent nodes.</w:t>
            </w:r>
          </w:p>
          <w:p w14:paraId="298C292C" w14:textId="77777777" w:rsidR="00865603" w:rsidRDefault="00865603" w:rsidP="00865603">
            <w:pPr>
              <w:overflowPunct/>
              <w:autoSpaceDE/>
              <w:autoSpaceDN/>
              <w:adjustRightInd/>
              <w:spacing w:after="0"/>
              <w:jc w:val="both"/>
              <w:textAlignment w:val="auto"/>
              <w:rPr>
                <w:rFonts w:eastAsia="Calibri" w:cs="Times"/>
                <w:bCs/>
              </w:rPr>
            </w:pPr>
          </w:p>
          <w:p w14:paraId="225923C0" w14:textId="77777777" w:rsidR="00865603" w:rsidRPr="00AA0687" w:rsidRDefault="00865603" w:rsidP="00865603">
            <w:pPr>
              <w:rPr>
                <w:rFonts w:eastAsia="SimSun" w:cs="Times"/>
                <w:b/>
                <w:lang w:eastAsia="zh-CN"/>
              </w:rPr>
            </w:pPr>
            <w:r w:rsidRPr="00AA0687">
              <w:rPr>
                <w:rFonts w:cs="Times"/>
                <w:b/>
                <w:highlight w:val="green"/>
                <w:lang w:eastAsia="zh-CN"/>
              </w:rPr>
              <w:t>Agreement</w:t>
            </w:r>
          </w:p>
          <w:p w14:paraId="50BD2E6D" w14:textId="77777777" w:rsidR="00865603" w:rsidRPr="00B7575E" w:rsidRDefault="00865603" w:rsidP="00865603">
            <w:pPr>
              <w:rPr>
                <w:rFonts w:cs="Times"/>
                <w:bCs/>
                <w:lang w:eastAsia="zh-CN"/>
              </w:rPr>
            </w:pPr>
            <w:r w:rsidRPr="00B7575E">
              <w:rPr>
                <w:rFonts w:cs="Times"/>
                <w:bCs/>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04AAF5DA" w14:textId="77777777" w:rsidR="00865603" w:rsidRPr="00B7575E" w:rsidRDefault="00865603" w:rsidP="00865603">
            <w:pPr>
              <w:pStyle w:val="ListParagraph"/>
              <w:numPr>
                <w:ilvl w:val="0"/>
                <w:numId w:val="20"/>
              </w:numPr>
              <w:overflowPunct/>
              <w:autoSpaceDE/>
              <w:autoSpaceDN/>
              <w:adjustRightInd/>
              <w:spacing w:after="0"/>
              <w:contextualSpacing w:val="0"/>
              <w:textAlignment w:val="auto"/>
              <w:rPr>
                <w:rFonts w:cs="Times"/>
                <w:bCs/>
                <w:lang w:eastAsia="zh-CN"/>
              </w:rPr>
            </w:pPr>
            <w:r w:rsidRPr="00B7575E">
              <w:rPr>
                <w:rFonts w:cs="Times"/>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2DA64F0A" w14:textId="77777777" w:rsidR="00865603" w:rsidRPr="00B7575E" w:rsidRDefault="00865603" w:rsidP="00865603">
            <w:pPr>
              <w:pStyle w:val="ListParagraph"/>
              <w:numPr>
                <w:ilvl w:val="0"/>
                <w:numId w:val="20"/>
              </w:numPr>
              <w:overflowPunct/>
              <w:autoSpaceDE/>
              <w:autoSpaceDN/>
              <w:adjustRightInd/>
              <w:spacing w:after="0"/>
              <w:contextualSpacing w:val="0"/>
              <w:textAlignment w:val="auto"/>
              <w:rPr>
                <w:rFonts w:cs="Times"/>
                <w:bCs/>
                <w:lang w:eastAsia="zh-CN"/>
              </w:rPr>
            </w:pPr>
            <w:r w:rsidRPr="00B7575E">
              <w:rPr>
                <w:rFonts w:cs="Times"/>
                <w:bCs/>
                <w:lang w:eastAsia="zh-CN"/>
              </w:rPr>
              <w:t>Alt. 6. The IAB-MT is expected to operate according to the non-flexible configuration.</w:t>
            </w:r>
          </w:p>
          <w:p w14:paraId="6032F7DD" w14:textId="77777777" w:rsidR="00865603" w:rsidRPr="00B7575E" w:rsidRDefault="00865603" w:rsidP="00865603">
            <w:pPr>
              <w:ind w:left="360"/>
              <w:rPr>
                <w:rFonts w:cs="Times"/>
                <w:b/>
                <w:bCs/>
                <w:lang w:eastAsia="zh-CN"/>
              </w:rPr>
            </w:pPr>
          </w:p>
          <w:p w14:paraId="1E5BD332" w14:textId="77777777" w:rsidR="00865603" w:rsidRPr="00AA0687" w:rsidRDefault="00865603" w:rsidP="00865603">
            <w:pPr>
              <w:rPr>
                <w:rFonts w:eastAsia="SimSun" w:cs="Times"/>
                <w:b/>
                <w:lang w:eastAsia="zh-CN"/>
              </w:rPr>
            </w:pPr>
            <w:r w:rsidRPr="00AA0687">
              <w:rPr>
                <w:rFonts w:cs="Times"/>
                <w:b/>
                <w:highlight w:val="green"/>
                <w:lang w:eastAsia="zh-CN"/>
              </w:rPr>
              <w:t>Agreement</w:t>
            </w:r>
          </w:p>
          <w:p w14:paraId="43C1ECF2" w14:textId="77777777" w:rsidR="00865603" w:rsidRPr="00B7575E" w:rsidRDefault="00865603" w:rsidP="00865603">
            <w:pPr>
              <w:rPr>
                <w:rFonts w:cs="Times"/>
                <w:lang w:eastAsia="zh-CN"/>
              </w:rPr>
            </w:pPr>
            <w:r w:rsidRPr="00B7575E">
              <w:rPr>
                <w:rFonts w:cs="Times"/>
                <w:bCs/>
                <w:color w:val="000000"/>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01ABDA35" w14:textId="77777777" w:rsidR="00865603" w:rsidRPr="00B7575E" w:rsidRDefault="00865603" w:rsidP="00865603">
            <w:pPr>
              <w:pStyle w:val="ListParagraph"/>
              <w:numPr>
                <w:ilvl w:val="0"/>
                <w:numId w:val="21"/>
              </w:numPr>
              <w:overflowPunct/>
              <w:autoSpaceDE/>
              <w:autoSpaceDN/>
              <w:adjustRightInd/>
              <w:spacing w:after="0"/>
              <w:contextualSpacing w:val="0"/>
              <w:textAlignment w:val="auto"/>
              <w:rPr>
                <w:rFonts w:cs="Times"/>
                <w:bCs/>
                <w:color w:val="000000"/>
                <w:lang w:eastAsia="zh-CN"/>
              </w:rPr>
            </w:pPr>
            <w:r w:rsidRPr="00B7575E">
              <w:rPr>
                <w:rFonts w:cs="Times"/>
                <w:bCs/>
                <w:color w:val="000000"/>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7CACAE27" w14:textId="77777777" w:rsidR="00865603" w:rsidRDefault="00865603" w:rsidP="00865603">
            <w:pPr>
              <w:pStyle w:val="ListParagraph"/>
              <w:numPr>
                <w:ilvl w:val="0"/>
                <w:numId w:val="21"/>
              </w:numPr>
              <w:overflowPunct/>
              <w:autoSpaceDE/>
              <w:autoSpaceDN/>
              <w:adjustRightInd/>
              <w:spacing w:after="0"/>
              <w:contextualSpacing w:val="0"/>
              <w:textAlignment w:val="auto"/>
              <w:rPr>
                <w:rFonts w:cs="Times"/>
                <w:bCs/>
                <w:color w:val="000000"/>
                <w:lang w:eastAsia="zh-CN"/>
              </w:rPr>
            </w:pPr>
            <w:r w:rsidRPr="00B7575E">
              <w:rPr>
                <w:rFonts w:cs="Times"/>
                <w:bCs/>
                <w:color w:val="000000"/>
                <w:lang w:eastAsia="zh-CN"/>
              </w:rPr>
              <w:t>Alt. 5: If a conflict occurs, the IAB MT is expected to perform as scheduled by MCG</w:t>
            </w:r>
          </w:p>
          <w:p w14:paraId="02A90009" w14:textId="4BDD1CF5" w:rsidR="00865603" w:rsidRPr="00865603" w:rsidRDefault="00865603" w:rsidP="00865603">
            <w:pPr>
              <w:pStyle w:val="ListParagraph"/>
              <w:numPr>
                <w:ilvl w:val="0"/>
                <w:numId w:val="21"/>
              </w:numPr>
              <w:overflowPunct/>
              <w:autoSpaceDE/>
              <w:autoSpaceDN/>
              <w:adjustRightInd/>
              <w:spacing w:after="0"/>
              <w:contextualSpacing w:val="0"/>
              <w:textAlignment w:val="auto"/>
              <w:rPr>
                <w:rFonts w:cs="Times"/>
                <w:bCs/>
                <w:color w:val="000000"/>
                <w:lang w:eastAsia="zh-CN"/>
              </w:rPr>
            </w:pPr>
            <w:r w:rsidRPr="00865603">
              <w:rPr>
                <w:rFonts w:cs="Times"/>
                <w:bCs/>
                <w:color w:val="000000"/>
                <w:lang w:eastAsia="zh-CN"/>
              </w:rPr>
              <w:t>FFS: Consideration of the impact of parent node’s H/S/NA when specifying the prioritization rules in case of UL/DL conflict</w:t>
            </w:r>
          </w:p>
        </w:tc>
      </w:tr>
    </w:tbl>
    <w:p w14:paraId="0AC7B3E4" w14:textId="07A2157E" w:rsidR="001715D9" w:rsidRDefault="001715D9" w:rsidP="0003137F"/>
    <w:p w14:paraId="64CEB0F7" w14:textId="77777777" w:rsidR="00751D08" w:rsidRDefault="00865603" w:rsidP="0003137F">
      <w:r>
        <w:t xml:space="preserve">Firstly, we can see that with the agreed resource (H/S/NA and DL/UL/F) coordination between donor-CUs and parent nodes, the TDD confliction avoidance </w:t>
      </w:r>
      <w:r w:rsidR="00F32B40">
        <w:t>is</w:t>
      </w:r>
      <w:r>
        <w:t xml:space="preserve"> </w:t>
      </w:r>
      <w:r w:rsidR="00F32B40">
        <w:t>achievable</w:t>
      </w:r>
      <w:r>
        <w:t xml:space="preserve"> for NR-DC by donor-CU(s) and/or parents</w:t>
      </w:r>
      <w:r w:rsidR="00F32B40">
        <w:t xml:space="preserve"> </w:t>
      </w:r>
      <w:r>
        <w:t>with</w:t>
      </w:r>
      <w:r w:rsidR="00F32B40">
        <w:t xml:space="preserve"> mechanisms, such as</w:t>
      </w:r>
      <w:r>
        <w:t xml:space="preserve"> aligned TDD configuration, </w:t>
      </w:r>
      <w:r w:rsidR="00F32B40">
        <w:t>orthogonal H/S/NA resources configured</w:t>
      </w:r>
      <w:r>
        <w:t xml:space="preserve"> among parents, and/or constrained scheduling</w:t>
      </w:r>
      <w:r w:rsidR="00F32B40">
        <w:t xml:space="preserve"> applied at each parent node on flexible resources etc., at potential cost of resource utilization depending on the implementation. </w:t>
      </w:r>
    </w:p>
    <w:p w14:paraId="1B884936" w14:textId="77777777" w:rsidR="006D5241" w:rsidRDefault="00751D08" w:rsidP="0003137F">
      <w:r>
        <w:t>Among two down selection options in case of flexible resources, t</w:t>
      </w:r>
      <w:r w:rsidR="00F32B40">
        <w:t xml:space="preserve">he Alt1 is to do confliction avoidance, which implies strict constraints on configuration and scheduling; </w:t>
      </w:r>
      <w:r w:rsidR="009526D7">
        <w:t xml:space="preserve">while Alt5/6 allows for confliction and specifies the resolution in </w:t>
      </w:r>
      <w:r w:rsidR="009526D7">
        <w:lastRenderedPageBreak/>
        <w:t xml:space="preserve">case of confliction. To ensure acceptable system performance, confliction in Alt5/6 should not happen frequently, which means that confliction avoidance schemes similar to Alt1 should also be applied in Alt5/6 for most of time. </w:t>
      </w:r>
      <w:r>
        <w:t>In this sense, t</w:t>
      </w:r>
      <w:r w:rsidR="009526D7">
        <w:t xml:space="preserve">he option Alt1 vs. Alt5/6 may not make big difference. </w:t>
      </w:r>
      <w:r>
        <w:t xml:space="preserve">One minor advantage that Alt5/6 may offer comparing with Alt1 is that they specify the winning entity in case of confliction, which can be useful for confliction avoidance for NR-DC with two independent schedulers. In Alt1 without specifying the winning entity, both parents may take conservation step for confliction avoidance, e.g. both parent </w:t>
      </w:r>
      <w:r w:rsidR="006D5241">
        <w:t>may avoid</w:t>
      </w:r>
      <w:r>
        <w:t xml:space="preserve"> any TX/RX at overlapping flexible resources; </w:t>
      </w:r>
      <w:r w:rsidR="006D5241">
        <w:t xml:space="preserve">while in Alt5/6 with winning entity specified, only the non-winning entity needs to avoid TX/RX. </w:t>
      </w:r>
    </w:p>
    <w:p w14:paraId="701F380B" w14:textId="75B6827F" w:rsidR="00865603" w:rsidRDefault="006D5241" w:rsidP="0003137F">
      <w:pPr>
        <w:rPr>
          <w:b/>
          <w:bCs/>
          <w:u w:val="single"/>
        </w:rPr>
      </w:pPr>
      <w:bookmarkStart w:id="17" w:name="_Hlk84017317"/>
      <w:r>
        <w:rPr>
          <w:b/>
          <w:bCs/>
          <w:u w:val="single"/>
        </w:rPr>
        <w:t>Proposal</w:t>
      </w:r>
      <w:r w:rsidRPr="006D5241">
        <w:rPr>
          <w:b/>
          <w:bCs/>
          <w:u w:val="single"/>
        </w:rPr>
        <w:t xml:space="preserve"> 5.1</w:t>
      </w:r>
      <w:r>
        <w:rPr>
          <w:b/>
          <w:bCs/>
          <w:u w:val="single"/>
        </w:rPr>
        <w:t>:</w:t>
      </w:r>
    </w:p>
    <w:p w14:paraId="680FEED8" w14:textId="77777777" w:rsidR="006D5241" w:rsidRDefault="006D5241" w:rsidP="0003137F">
      <w:pPr>
        <w:rPr>
          <w:b/>
          <w:bCs/>
        </w:rPr>
      </w:pPr>
      <w:r>
        <w:rPr>
          <w:b/>
          <w:bCs/>
        </w:rPr>
        <w:t>Support Alt5/6 for TDD confliction resolution, which may have slightly advantage and flexibility over Alt1.</w:t>
      </w:r>
      <w:bookmarkEnd w:id="17"/>
      <w:r>
        <w:rPr>
          <w:b/>
          <w:bCs/>
        </w:rPr>
        <w:t xml:space="preserve"> </w:t>
      </w:r>
    </w:p>
    <w:p w14:paraId="03C693B5" w14:textId="4245DBE7" w:rsidR="006D5241" w:rsidRPr="006D5241" w:rsidRDefault="006D5241" w:rsidP="0003137F">
      <w:r w:rsidRPr="006D5241">
        <w:t>Regarding</w:t>
      </w:r>
      <w:r>
        <w:t xml:space="preserve"> the impact of parent node’s H/S/NA when specifying TDD pri</w:t>
      </w:r>
      <w:r w:rsidR="00A266C5">
        <w:t>ori</w:t>
      </w:r>
      <w:r>
        <w:t>tization rules, by configuring NA resources as flexible</w:t>
      </w:r>
      <w:r w:rsidR="00A266C5">
        <w:t xml:space="preserve"> and applying SFI tools to cancel semi-static channel allocation, the existing CA TDD prioritization rules are still applicable to IAB-network without changes.   </w:t>
      </w:r>
      <w:r>
        <w:t xml:space="preserve">  </w:t>
      </w:r>
      <w:r w:rsidRPr="006D5241">
        <w:t xml:space="preserve">  </w:t>
      </w:r>
    </w:p>
    <w:p w14:paraId="326539FE" w14:textId="77777777" w:rsidR="0003137F" w:rsidRDefault="0003137F" w:rsidP="0003137F">
      <w:pPr>
        <w:pStyle w:val="Heading3"/>
        <w:rPr>
          <w:lang w:val="en-US"/>
        </w:rPr>
      </w:pPr>
      <w:r>
        <w:rPr>
          <w:lang w:val="en-US"/>
        </w:rPr>
        <w:t>5.2 Per-BH-link resource configuration.</w:t>
      </w:r>
    </w:p>
    <w:p w14:paraId="6351D9A6" w14:textId="77777777" w:rsidR="0003137F" w:rsidRDefault="0003137F" w:rsidP="0003137F">
      <w:pPr>
        <w:rPr>
          <w:lang w:val="en-US"/>
        </w:rPr>
      </w:pPr>
      <w:r>
        <w:rPr>
          <w:lang w:val="en-US"/>
        </w:rPr>
        <w:t>RAN1-106e had the following conclusion:</w:t>
      </w:r>
    </w:p>
    <w:tbl>
      <w:tblPr>
        <w:tblStyle w:val="TableGrid"/>
        <w:tblW w:w="0" w:type="auto"/>
        <w:tblLook w:val="04A0" w:firstRow="1" w:lastRow="0" w:firstColumn="1" w:lastColumn="0" w:noHBand="0" w:noVBand="1"/>
      </w:tblPr>
      <w:tblGrid>
        <w:gridCol w:w="9629"/>
      </w:tblGrid>
      <w:tr w:rsidR="0003137F" w14:paraId="3B9DCDDD" w14:textId="77777777" w:rsidTr="0003137F">
        <w:tc>
          <w:tcPr>
            <w:tcW w:w="9629" w:type="dxa"/>
          </w:tcPr>
          <w:p w14:paraId="78C3F05B" w14:textId="77777777" w:rsidR="0003137F" w:rsidRPr="00B7575E" w:rsidRDefault="0003137F" w:rsidP="0003137F">
            <w:pPr>
              <w:rPr>
                <w:rFonts w:cs="Times"/>
                <w:b/>
                <w:bCs/>
                <w:lang w:eastAsia="zh-CN"/>
              </w:rPr>
            </w:pPr>
            <w:r>
              <w:rPr>
                <w:rFonts w:cs="Times"/>
                <w:b/>
                <w:bCs/>
                <w:lang w:eastAsia="zh-CN"/>
              </w:rPr>
              <w:t>Conclusion</w:t>
            </w:r>
          </w:p>
          <w:p w14:paraId="0FE8C9F9" w14:textId="77777777" w:rsidR="0003137F" w:rsidRPr="00B7575E" w:rsidRDefault="0003137F" w:rsidP="0003137F">
            <w:pPr>
              <w:rPr>
                <w:rFonts w:cs="Times"/>
                <w:bCs/>
                <w:lang w:eastAsia="zh-CN"/>
              </w:rPr>
            </w:pPr>
            <w:r w:rsidRPr="00B7575E">
              <w:rPr>
                <w:rFonts w:cs="Times"/>
                <w:bCs/>
                <w:lang w:eastAsia="zh-CN"/>
              </w:rPr>
              <w:t>Decide in RAN1#106bis-e whether the parent IAB DUs of a DC connected IAB node can have per-backhaul-link resource configurations.</w:t>
            </w:r>
          </w:p>
          <w:p w14:paraId="17087C86" w14:textId="7099131F" w:rsidR="0003137F" w:rsidRPr="0003137F" w:rsidRDefault="0003137F" w:rsidP="0003137F">
            <w:pPr>
              <w:pStyle w:val="ListParagraph"/>
              <w:numPr>
                <w:ilvl w:val="0"/>
                <w:numId w:val="17"/>
              </w:numPr>
              <w:rPr>
                <w:lang w:val="en-US"/>
              </w:rPr>
            </w:pPr>
            <w:r w:rsidRPr="0003137F">
              <w:rPr>
                <w:rFonts w:cs="Times"/>
                <w:bCs/>
                <w:lang w:eastAsia="zh-CN"/>
              </w:rPr>
              <w:t>FFS: whether the per-backhaul-link configuration is provided to the dual-connected IAB node.</w:t>
            </w:r>
          </w:p>
        </w:tc>
      </w:tr>
    </w:tbl>
    <w:p w14:paraId="5D619256" w14:textId="0A82A00B" w:rsidR="00347C4D" w:rsidRDefault="00347C4D" w:rsidP="0003137F">
      <w:pPr>
        <w:rPr>
          <w:lang w:val="en-US"/>
        </w:rPr>
      </w:pPr>
    </w:p>
    <w:p w14:paraId="2CC796E3" w14:textId="77777777" w:rsidR="002F6035" w:rsidRDefault="0003137F" w:rsidP="0003137F">
      <w:pPr>
        <w:rPr>
          <w:lang w:val="en-US"/>
        </w:rPr>
      </w:pPr>
      <w:r>
        <w:rPr>
          <w:lang w:val="en-US"/>
        </w:rPr>
        <w:t>In Rel-16, the H/S/NA resource configuration is configure</w:t>
      </w:r>
      <w:r w:rsidR="002F6035">
        <w:rPr>
          <w:lang w:val="en-US"/>
        </w:rPr>
        <w:t>d</w:t>
      </w:r>
      <w:r>
        <w:rPr>
          <w:lang w:val="en-US"/>
        </w:rPr>
        <w:t xml:space="preserve"> for an IAB-node per DU-cell</w:t>
      </w:r>
      <w:r w:rsidR="002F6035">
        <w:rPr>
          <w:lang w:val="en-US"/>
        </w:rPr>
        <w:t>, and a parent node is also provided with the resource configurations of all its child nodes. With this knowledge, a parent node can effectively determine child-link-specific resource patterns among different child links to some extend. But this approach may not be flexible because it depends on the resource configurations of the child nodes. In certain cases, it may not be able to provide desired link-specific resource patterns:</w:t>
      </w:r>
    </w:p>
    <w:p w14:paraId="2010D3C8" w14:textId="1C19BC1B" w:rsidR="001715D9" w:rsidRPr="001715D9" w:rsidRDefault="002F6035" w:rsidP="002F6035">
      <w:pPr>
        <w:pStyle w:val="ListParagraph"/>
        <w:numPr>
          <w:ilvl w:val="0"/>
          <w:numId w:val="17"/>
        </w:numPr>
        <w:rPr>
          <w:lang w:val="en-US"/>
        </w:rPr>
      </w:pPr>
      <w:r>
        <w:rPr>
          <w:lang w:val="en-US"/>
        </w:rPr>
        <w:t>One example</w:t>
      </w:r>
      <w:r w:rsidR="00F24C48">
        <w:rPr>
          <w:lang w:val="en-US"/>
        </w:rPr>
        <w:t xml:space="preserve"> in multi-parent case with NR-DC as shown in Fig.6, where two parents </w:t>
      </w:r>
      <w:r w:rsidR="00F24C48" w:rsidRPr="00F24C48">
        <w:t>with same DU-cell resource config need to provide TDMed Hard resources to a dual-connected child node</w:t>
      </w:r>
      <w:r w:rsidR="001715D9">
        <w:t xml:space="preserve"> IAB0</w:t>
      </w:r>
      <w:r w:rsidR="00F24C48">
        <w:t xml:space="preserve">. </w:t>
      </w:r>
    </w:p>
    <w:p w14:paraId="48F9C023" w14:textId="4CE8B572" w:rsidR="001715D9" w:rsidRPr="001715D9" w:rsidRDefault="00F24C48" w:rsidP="001715D9">
      <w:pPr>
        <w:pStyle w:val="ListParagraph"/>
        <w:numPr>
          <w:ilvl w:val="1"/>
          <w:numId w:val="17"/>
        </w:numPr>
        <w:rPr>
          <w:lang w:val="en-US"/>
        </w:rPr>
      </w:pPr>
      <w:r>
        <w:t xml:space="preserve">In this case, the Rel-16 approach with per-DU-cell resource configuration together with knowledge of child’s configuration cannot generate different H/S/NA resource patterns for two parent links unless one of the parents changes its DU-cell resource configuration as shown in approach2, which will impact resource patterns for other child nodes and the grandchild nodes with a lot of </w:t>
      </w:r>
      <w:r w:rsidR="001715D9">
        <w:t>signalling</w:t>
      </w:r>
      <w:r>
        <w:t xml:space="preserve"> overhead. </w:t>
      </w:r>
    </w:p>
    <w:p w14:paraId="65E89650" w14:textId="77777777" w:rsidR="001715D9" w:rsidRPr="001715D9" w:rsidRDefault="00F24C48" w:rsidP="001715D9">
      <w:pPr>
        <w:pStyle w:val="ListParagraph"/>
        <w:numPr>
          <w:ilvl w:val="1"/>
          <w:numId w:val="17"/>
        </w:numPr>
        <w:rPr>
          <w:lang w:val="en-US"/>
        </w:rPr>
      </w:pPr>
      <w:r>
        <w:t xml:space="preserve">If per-BH-link resource configuration can be supported as shown by Approach1, each parent can keep </w:t>
      </w:r>
      <w:r w:rsidR="001715D9">
        <w:t>the</w:t>
      </w:r>
      <w:r>
        <w:t xml:space="preserve"> existing DU-cell resource configuration and just uses the per-BH-link configuration signal</w:t>
      </w:r>
      <w:r w:rsidR="001715D9">
        <w:t>l</w:t>
      </w:r>
      <w:r>
        <w:t xml:space="preserve">ing to override the </w:t>
      </w:r>
      <w:r w:rsidR="001715D9">
        <w:t>resource pattern for the child link with the dual-connected IAB0.</w:t>
      </w:r>
    </w:p>
    <w:p w14:paraId="50426F35" w14:textId="768B553D" w:rsidR="0003137F" w:rsidRPr="001715D9" w:rsidRDefault="001715D9" w:rsidP="0003137F">
      <w:pPr>
        <w:pStyle w:val="ListParagraph"/>
        <w:numPr>
          <w:ilvl w:val="0"/>
          <w:numId w:val="17"/>
        </w:numPr>
        <w:rPr>
          <w:lang w:val="en-US"/>
        </w:rPr>
      </w:pPr>
      <w:r>
        <w:t xml:space="preserve">Another example is for interference management. </w:t>
      </w:r>
      <w:r w:rsidRPr="001715D9">
        <w:t>A</w:t>
      </w:r>
      <w:r>
        <w:t>n</w:t>
      </w:r>
      <w:r w:rsidRPr="001715D9">
        <w:t xml:space="preserve"> IAB-node may be constrained to operate within a fraction of its hard resources for </w:t>
      </w:r>
      <w:r>
        <w:t>one</w:t>
      </w:r>
      <w:r w:rsidRPr="001715D9">
        <w:t xml:space="preserve"> specific child IAB-MT due to inter-cell interference. The Per-BH link resource config can </w:t>
      </w:r>
      <w:r>
        <w:t>override the</w:t>
      </w:r>
      <w:r w:rsidRPr="001715D9">
        <w:t xml:space="preserve"> existing DU-cell config</w:t>
      </w:r>
      <w:r>
        <w:t xml:space="preserve">uration for this specific child link without impacting other child nodes.     </w:t>
      </w:r>
      <w:r w:rsidR="00F24C48">
        <w:t xml:space="preserve">   </w:t>
      </w:r>
      <w:r w:rsidR="00F24C48">
        <w:rPr>
          <w:lang w:val="en-US"/>
        </w:rPr>
        <w:t xml:space="preserve"> </w:t>
      </w:r>
    </w:p>
    <w:p w14:paraId="29F0A9AE" w14:textId="723862C9" w:rsidR="0003137F" w:rsidRDefault="0003137F" w:rsidP="0003137F">
      <w:pPr>
        <w:rPr>
          <w:lang w:val="en-US"/>
        </w:rPr>
      </w:pPr>
      <w:r>
        <w:rPr>
          <w:noProof/>
          <w:lang w:val="en-US"/>
        </w:rPr>
        <w:lastRenderedPageBreak/>
        <w:drawing>
          <wp:inline distT="0" distB="0" distL="0" distR="0" wp14:anchorId="70C954BE" wp14:editId="6A8B047F">
            <wp:extent cx="6413500" cy="2868640"/>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26493" cy="2874452"/>
                    </a:xfrm>
                    <a:prstGeom prst="rect">
                      <a:avLst/>
                    </a:prstGeom>
                    <a:noFill/>
                  </pic:spPr>
                </pic:pic>
              </a:graphicData>
            </a:graphic>
          </wp:inline>
        </w:drawing>
      </w:r>
    </w:p>
    <w:p w14:paraId="7832B360" w14:textId="2D3ADEB7" w:rsidR="0003137F" w:rsidRPr="0003137F" w:rsidRDefault="0003137F" w:rsidP="0003137F">
      <w:pPr>
        <w:jc w:val="center"/>
        <w:rPr>
          <w:b/>
          <w:bCs/>
          <w:lang w:val="en-US"/>
        </w:rPr>
      </w:pPr>
      <w:r w:rsidRPr="0003137F">
        <w:rPr>
          <w:b/>
          <w:bCs/>
          <w:lang w:val="en-US"/>
        </w:rPr>
        <w:t>Fig.</w:t>
      </w:r>
      <w:r>
        <w:rPr>
          <w:b/>
          <w:bCs/>
          <w:lang w:val="en-US"/>
        </w:rPr>
        <w:t xml:space="preserve">6 Example of Per-BH-link resource configuration to reduce signaling overhead  </w:t>
      </w:r>
    </w:p>
    <w:p w14:paraId="0BC4A71B" w14:textId="0D11F334" w:rsidR="0003137F" w:rsidRDefault="001715D9" w:rsidP="0003137F">
      <w:pPr>
        <w:rPr>
          <w:b/>
          <w:bCs/>
          <w:u w:val="single"/>
          <w:lang w:val="en-US"/>
        </w:rPr>
      </w:pPr>
      <w:bookmarkStart w:id="18" w:name="_Hlk84017350"/>
      <w:r w:rsidRPr="00A266C5">
        <w:rPr>
          <w:b/>
          <w:bCs/>
          <w:u w:val="single"/>
          <w:lang w:val="en-US"/>
        </w:rPr>
        <w:t>Observation 5.1</w:t>
      </w:r>
    </w:p>
    <w:p w14:paraId="180F053F" w14:textId="77777777" w:rsidR="00A266C5" w:rsidRDefault="00A266C5" w:rsidP="0003137F">
      <w:pPr>
        <w:rPr>
          <w:b/>
          <w:bCs/>
        </w:rPr>
      </w:pPr>
      <w:r w:rsidRPr="00A266C5">
        <w:rPr>
          <w:b/>
          <w:bCs/>
        </w:rPr>
        <w:t>Per-BH link resource config allows an IAB-node to override its Rel-16 DU-cell config for a specified child BH link without impacting to other child nodes, and it is more flexible than Rel-16 approach using per DU-cell config together with knowledge of child’s config</w:t>
      </w:r>
      <w:r>
        <w:rPr>
          <w:b/>
          <w:bCs/>
        </w:rPr>
        <w:t>.</w:t>
      </w:r>
      <w:bookmarkEnd w:id="18"/>
    </w:p>
    <w:p w14:paraId="26DF2839" w14:textId="371DAB8D" w:rsidR="00A266C5" w:rsidRPr="00A266C5" w:rsidRDefault="00A266C5" w:rsidP="0003137F">
      <w:pPr>
        <w:rPr>
          <w:lang w:val="en-US"/>
        </w:rPr>
      </w:pPr>
      <w:r>
        <w:t xml:space="preserve">Regarding the FFS item on whether the per-BH-link resource configuration should be provided to the dual-connected child node, we think that it may not be needed in the same way as for the case of single parent. If the intention is for the purpose of confliction resolution in multi-parent, the discussion can be </w:t>
      </w:r>
      <w:r w:rsidR="00686AFE">
        <w:t>deferred</w:t>
      </w:r>
      <w:r>
        <w:t xml:space="preserve"> after </w:t>
      </w:r>
      <w:r w:rsidR="00686AFE">
        <w:t xml:space="preserve">agreement of </w:t>
      </w:r>
      <w:r>
        <w:t xml:space="preserve">TDD prioritization rules </w:t>
      </w:r>
      <w:r w:rsidR="00686AFE">
        <w:t xml:space="preserve">to see whether the rules require knowledge of parent’s H/S/NA resource pattern for NR-DC.  </w:t>
      </w:r>
      <w:r>
        <w:t xml:space="preserve">      </w:t>
      </w:r>
    </w:p>
    <w:p w14:paraId="0D07EE17" w14:textId="77777777" w:rsidR="00E12011" w:rsidRDefault="00E12011" w:rsidP="00E12011">
      <w:pPr>
        <w:rPr>
          <w:b/>
          <w:bCs/>
          <w:u w:val="single"/>
        </w:rPr>
      </w:pPr>
      <w:bookmarkStart w:id="19" w:name="_Hlk84017367"/>
      <w:r w:rsidRPr="00A266C5">
        <w:rPr>
          <w:b/>
          <w:bCs/>
          <w:u w:val="single"/>
        </w:rPr>
        <w:t>Proposal 5.2</w:t>
      </w:r>
    </w:p>
    <w:p w14:paraId="04459983" w14:textId="04FC0314" w:rsidR="00E12011" w:rsidRDefault="00E12011" w:rsidP="00E12011">
      <w:pPr>
        <w:rPr>
          <w:b/>
          <w:bCs/>
        </w:rPr>
      </w:pPr>
      <w:r w:rsidRPr="00A266C5">
        <w:rPr>
          <w:b/>
          <w:bCs/>
        </w:rPr>
        <w:t>Support per-BH-link resource configuration</w:t>
      </w:r>
      <w:r>
        <w:rPr>
          <w:b/>
          <w:bCs/>
        </w:rPr>
        <w:t>.</w:t>
      </w:r>
    </w:p>
    <w:p w14:paraId="7BA72912" w14:textId="1AB1EEAA" w:rsidR="00E12011" w:rsidRPr="00D7258D" w:rsidRDefault="00E12011" w:rsidP="00E12011">
      <w:pPr>
        <w:pStyle w:val="ListParagraph"/>
        <w:numPr>
          <w:ilvl w:val="0"/>
          <w:numId w:val="22"/>
        </w:numPr>
        <w:rPr>
          <w:b/>
          <w:bCs/>
        </w:rPr>
      </w:pPr>
      <w:r>
        <w:rPr>
          <w:b/>
          <w:bCs/>
        </w:rPr>
        <w:t>Defer the discussion on whether the configuration shall be provided to the dual-connected child node after agreement of TDD prioritization rules.</w:t>
      </w:r>
      <w:bookmarkEnd w:id="19"/>
      <w:r>
        <w:rPr>
          <w:b/>
          <w:bCs/>
        </w:rPr>
        <w:t xml:space="preserve"> </w:t>
      </w:r>
    </w:p>
    <w:p w14:paraId="0337DEB0" w14:textId="369B3759" w:rsidR="00347C4D" w:rsidRDefault="000A4E17" w:rsidP="00347C4D">
      <w:pPr>
        <w:pStyle w:val="Heading2"/>
      </w:pPr>
      <w:r>
        <w:t xml:space="preserve">6. </w:t>
      </w:r>
      <w:r w:rsidR="00347C4D">
        <w:t>Conclusion</w:t>
      </w:r>
    </w:p>
    <w:p w14:paraId="1166B991" w14:textId="42522195" w:rsidR="00347C4D" w:rsidRDefault="00347C4D" w:rsidP="00347C4D">
      <w:r>
        <w:t>This contribution provided our view on the IAB resource management framework in the context of the Rel-17 IAB WID . The following observations and proposals were made:</w:t>
      </w:r>
    </w:p>
    <w:p w14:paraId="0360B632" w14:textId="77777777" w:rsidR="00A66B08" w:rsidRDefault="00A66B08" w:rsidP="00A66B08">
      <w:pPr>
        <w:rPr>
          <w:b/>
          <w:bCs/>
          <w:u w:val="single"/>
          <w:lang w:eastAsia="zh-CN"/>
        </w:rPr>
      </w:pPr>
      <w:r>
        <w:rPr>
          <w:b/>
          <w:bCs/>
          <w:u w:val="single"/>
          <w:lang w:eastAsia="zh-CN"/>
        </w:rPr>
        <w:t>Proposal 2.1</w:t>
      </w:r>
      <w:r w:rsidRPr="00D24022">
        <w:rPr>
          <w:b/>
          <w:bCs/>
          <w:u w:val="single"/>
          <w:lang w:eastAsia="zh-CN"/>
        </w:rPr>
        <w:t>:</w:t>
      </w:r>
    </w:p>
    <w:p w14:paraId="303A4D18" w14:textId="77777777" w:rsidR="00A66B08" w:rsidRDefault="00A66B08" w:rsidP="00A66B08">
      <w:pPr>
        <w:rPr>
          <w:b/>
          <w:bCs/>
          <w:lang w:val="en-US"/>
        </w:rPr>
      </w:pPr>
      <w:r w:rsidRPr="005A4718">
        <w:rPr>
          <w:b/>
          <w:bCs/>
          <w:lang w:eastAsia="zh-CN"/>
        </w:rPr>
        <w:t>Support</w:t>
      </w:r>
      <w:r>
        <w:rPr>
          <w:b/>
          <w:bCs/>
          <w:lang w:val="en-US"/>
        </w:rPr>
        <w:t xml:space="preserve"> Rel-17 frequency-domain H/S/NA configuration to provide time-varying frequency-domain H/S/NA pattern over a number of slots.</w:t>
      </w:r>
    </w:p>
    <w:p w14:paraId="47AC5CA6" w14:textId="77777777" w:rsidR="00A66B08" w:rsidRDefault="00A66B08" w:rsidP="00A66B08">
      <w:pPr>
        <w:rPr>
          <w:b/>
          <w:bCs/>
          <w:u w:val="single"/>
          <w:lang w:eastAsia="zh-CN"/>
        </w:rPr>
      </w:pPr>
      <w:r>
        <w:rPr>
          <w:b/>
          <w:bCs/>
          <w:u w:val="single"/>
          <w:lang w:eastAsia="zh-CN"/>
        </w:rPr>
        <w:t>Proposal 2.2</w:t>
      </w:r>
      <w:r w:rsidRPr="00D24022">
        <w:rPr>
          <w:b/>
          <w:bCs/>
          <w:u w:val="single"/>
          <w:lang w:eastAsia="zh-CN"/>
        </w:rPr>
        <w:t>:</w:t>
      </w:r>
    </w:p>
    <w:p w14:paraId="3A6B185C" w14:textId="29F85196" w:rsidR="00A66B08" w:rsidRDefault="00A66B08" w:rsidP="00A66B08">
      <w:pPr>
        <w:rPr>
          <w:b/>
          <w:bCs/>
          <w:lang w:val="en-US"/>
        </w:rPr>
      </w:pPr>
      <w:r>
        <w:rPr>
          <w:b/>
          <w:bCs/>
          <w:lang w:val="en-US"/>
        </w:rPr>
        <w:t>Support Rel-17 frequency-domain H/S/NA configuration by extending the gNB-DU cell resource configuration IE used by the Rel-16 time-domain configuration to the granularity of an RB set, where selected slots and RB set</w:t>
      </w:r>
      <w:r w:rsidR="003F051C">
        <w:rPr>
          <w:b/>
          <w:bCs/>
          <w:lang w:val="en-US"/>
        </w:rPr>
        <w:t xml:space="preserve">s </w:t>
      </w:r>
      <w:r>
        <w:rPr>
          <w:b/>
          <w:bCs/>
          <w:lang w:val="en-US"/>
        </w:rPr>
        <w:t>can be optionally specified.</w:t>
      </w:r>
    </w:p>
    <w:p w14:paraId="399242E9" w14:textId="77777777" w:rsidR="00A66B08" w:rsidRDefault="00A66B08" w:rsidP="00A66B08">
      <w:pPr>
        <w:rPr>
          <w:b/>
          <w:bCs/>
          <w:u w:val="single"/>
          <w:lang w:eastAsia="zh-CN"/>
        </w:rPr>
      </w:pPr>
      <w:r>
        <w:rPr>
          <w:b/>
          <w:bCs/>
          <w:u w:val="single"/>
          <w:lang w:eastAsia="zh-CN"/>
        </w:rPr>
        <w:t>Proposal 2.3</w:t>
      </w:r>
      <w:r w:rsidRPr="00D24022">
        <w:rPr>
          <w:b/>
          <w:bCs/>
          <w:u w:val="single"/>
          <w:lang w:eastAsia="zh-CN"/>
        </w:rPr>
        <w:t>:</w:t>
      </w:r>
    </w:p>
    <w:p w14:paraId="3B1DB50B" w14:textId="77777777" w:rsidR="00A66B08" w:rsidRDefault="00A66B08" w:rsidP="00A66B08">
      <w:pPr>
        <w:rPr>
          <w:b/>
          <w:bCs/>
        </w:rPr>
      </w:pPr>
      <w:r>
        <w:rPr>
          <w:b/>
          <w:bCs/>
        </w:rPr>
        <w:t>For the size of an RB set, support additional candidate values of {96,128,160} to the agreed list of {2,4,8,16,32,64} so that it can be sufficient to configure 2 or 3 RB sets for a max carrier bandwidth.</w:t>
      </w:r>
    </w:p>
    <w:p w14:paraId="7DB73D03" w14:textId="77777777" w:rsidR="00A66B08" w:rsidRDefault="00A66B08" w:rsidP="00A66B08">
      <w:pPr>
        <w:rPr>
          <w:b/>
          <w:bCs/>
          <w:u w:val="single"/>
          <w:lang w:eastAsia="zh-CN"/>
        </w:rPr>
      </w:pPr>
      <w:r>
        <w:rPr>
          <w:b/>
          <w:bCs/>
          <w:u w:val="single"/>
          <w:lang w:eastAsia="zh-CN"/>
        </w:rPr>
        <w:t>Observation 2.1</w:t>
      </w:r>
    </w:p>
    <w:p w14:paraId="79AC8A02" w14:textId="77777777" w:rsidR="00A66B08" w:rsidRDefault="00A66B08" w:rsidP="00A66B08">
      <w:pPr>
        <w:rPr>
          <w:b/>
          <w:bCs/>
          <w:lang w:eastAsia="zh-CN"/>
        </w:rPr>
      </w:pPr>
      <w:r>
        <w:rPr>
          <w:b/>
          <w:bCs/>
          <w:lang w:eastAsia="zh-CN"/>
        </w:rPr>
        <w:lastRenderedPageBreak/>
        <w:t xml:space="preserve">For supporting soft resource availability in frequency-domain, </w:t>
      </w:r>
    </w:p>
    <w:p w14:paraId="6B375A8C" w14:textId="77777777" w:rsidR="00A66B08" w:rsidRDefault="00A66B08" w:rsidP="00A66B08">
      <w:pPr>
        <w:pStyle w:val="ListParagraph"/>
        <w:numPr>
          <w:ilvl w:val="0"/>
          <w:numId w:val="14"/>
        </w:numPr>
        <w:rPr>
          <w:b/>
          <w:bCs/>
          <w:lang w:eastAsia="zh-CN"/>
        </w:rPr>
      </w:pPr>
      <w:r>
        <w:rPr>
          <w:b/>
          <w:bCs/>
          <w:lang w:eastAsia="zh-CN"/>
        </w:rPr>
        <w:t xml:space="preserve">Alt1 is more flexible than Alt3 in that it can </w:t>
      </w:r>
      <w:r w:rsidRPr="007747BD">
        <w:rPr>
          <w:b/>
          <w:bCs/>
          <w:u w:val="single"/>
          <w:lang w:eastAsia="zh-CN"/>
        </w:rPr>
        <w:t>dynamically</w:t>
      </w:r>
      <w:r>
        <w:rPr>
          <w:b/>
          <w:bCs/>
          <w:lang w:eastAsia="zh-CN"/>
        </w:rPr>
        <w:t xml:space="preserve"> indicate availability of </w:t>
      </w:r>
      <w:r w:rsidRPr="00CD4519">
        <w:rPr>
          <w:b/>
          <w:bCs/>
          <w:u w:val="single"/>
          <w:lang w:eastAsia="zh-CN"/>
        </w:rPr>
        <w:t>all or a subset of RB sets</w:t>
      </w:r>
      <w:r>
        <w:rPr>
          <w:b/>
          <w:bCs/>
          <w:lang w:eastAsia="zh-CN"/>
        </w:rPr>
        <w:t xml:space="preserve"> to the child node based on applicability of simultaneous operation mode and FDM requirement.</w:t>
      </w:r>
    </w:p>
    <w:p w14:paraId="45999562" w14:textId="77777777" w:rsidR="00A66B08" w:rsidRPr="0075799F" w:rsidRDefault="00A66B08" w:rsidP="00A66B08">
      <w:pPr>
        <w:pStyle w:val="ListParagraph"/>
        <w:numPr>
          <w:ilvl w:val="0"/>
          <w:numId w:val="14"/>
        </w:numPr>
        <w:rPr>
          <w:b/>
          <w:bCs/>
          <w:lang w:eastAsia="zh-CN"/>
        </w:rPr>
      </w:pPr>
      <w:r>
        <w:rPr>
          <w:b/>
          <w:bCs/>
          <w:lang w:eastAsia="zh-CN"/>
        </w:rPr>
        <w:t xml:space="preserve">Alt1 has less over-the-air signaling overhead than Alt2.  </w:t>
      </w:r>
      <w:r w:rsidRPr="0075799F">
        <w:rPr>
          <w:b/>
          <w:bCs/>
          <w:lang w:eastAsia="zh-CN"/>
        </w:rPr>
        <w:t xml:space="preserve"> </w:t>
      </w:r>
    </w:p>
    <w:p w14:paraId="3004B96D" w14:textId="77777777" w:rsidR="00A66B08" w:rsidRDefault="00A66B08" w:rsidP="00A66B08">
      <w:pPr>
        <w:rPr>
          <w:b/>
          <w:bCs/>
          <w:u w:val="single"/>
          <w:lang w:eastAsia="zh-CN"/>
        </w:rPr>
      </w:pPr>
      <w:r>
        <w:rPr>
          <w:b/>
          <w:bCs/>
          <w:u w:val="single"/>
          <w:lang w:eastAsia="zh-CN"/>
        </w:rPr>
        <w:t>Proposal 2.4</w:t>
      </w:r>
      <w:r w:rsidRPr="00D24022">
        <w:rPr>
          <w:b/>
          <w:bCs/>
          <w:u w:val="single"/>
          <w:lang w:eastAsia="zh-CN"/>
        </w:rPr>
        <w:t>:</w:t>
      </w:r>
    </w:p>
    <w:p w14:paraId="404A68DC" w14:textId="77777777" w:rsidR="00A66B08" w:rsidRDefault="00A66B08" w:rsidP="00A66B08">
      <w:pPr>
        <w:rPr>
          <w:b/>
          <w:bCs/>
          <w:lang w:eastAsia="zh-CN"/>
        </w:rPr>
      </w:pPr>
      <w:r>
        <w:rPr>
          <w:b/>
          <w:bCs/>
          <w:lang w:eastAsia="zh-CN"/>
        </w:rPr>
        <w:t>Support Alt1 with a single DCI format 2_5 to indicate availability for multiple RB sets corresponding to the same time resource of the child IAB-DU cell.</w:t>
      </w:r>
    </w:p>
    <w:p w14:paraId="01A586BC" w14:textId="5050910A" w:rsidR="00A66B08" w:rsidRDefault="00A66B08" w:rsidP="00A66B08">
      <w:pPr>
        <w:rPr>
          <w:b/>
          <w:bCs/>
          <w:u w:val="single"/>
          <w:lang w:eastAsia="zh-CN"/>
        </w:rPr>
      </w:pPr>
      <w:r>
        <w:rPr>
          <w:b/>
          <w:bCs/>
          <w:u w:val="single"/>
          <w:lang w:eastAsia="zh-CN"/>
        </w:rPr>
        <w:t>Proposal 2.</w:t>
      </w:r>
      <w:r w:rsidR="00563B37">
        <w:rPr>
          <w:b/>
          <w:bCs/>
          <w:u w:val="single"/>
          <w:lang w:eastAsia="zh-CN"/>
        </w:rPr>
        <w:t>5</w:t>
      </w:r>
      <w:r w:rsidRPr="00D24022">
        <w:rPr>
          <w:b/>
          <w:bCs/>
          <w:u w:val="single"/>
          <w:lang w:eastAsia="zh-CN"/>
        </w:rPr>
        <w:t>:</w:t>
      </w:r>
    </w:p>
    <w:p w14:paraId="462E805C" w14:textId="77777777" w:rsidR="00A66B08" w:rsidRPr="00784F24" w:rsidRDefault="00A66B08" w:rsidP="00A66B08">
      <w:pPr>
        <w:rPr>
          <w:b/>
          <w:bCs/>
          <w:lang w:val="en-US"/>
        </w:rPr>
      </w:pPr>
      <w:r w:rsidRPr="00784F24">
        <w:rPr>
          <w:b/>
          <w:bCs/>
          <w:lang w:val="en-US"/>
        </w:rPr>
        <w:t xml:space="preserve">Update resourceAvailability mapping table defined in TS38.213 so that the indication of availability can be applied over soft resources in frequency-domain for DL or UL or Flexible symbols. </w:t>
      </w:r>
    </w:p>
    <w:p w14:paraId="00FF2DC2" w14:textId="77777777" w:rsidR="00A66B08" w:rsidRPr="00A03281" w:rsidRDefault="00A66B08" w:rsidP="00A66B08">
      <w:pPr>
        <w:pStyle w:val="ListParagraph"/>
        <w:numPr>
          <w:ilvl w:val="0"/>
          <w:numId w:val="24"/>
        </w:numPr>
        <w:rPr>
          <w:b/>
          <w:bCs/>
          <w:lang w:val="en-US"/>
        </w:rPr>
      </w:pPr>
      <w:r w:rsidRPr="00A03281">
        <w:rPr>
          <w:b/>
          <w:bCs/>
          <w:lang w:val="en-US"/>
        </w:rPr>
        <w:t>E.g. replacing “soft DL/UL/Flexible symbols” with “soft resources in DL/UL/Flexible symbols”</w:t>
      </w:r>
    </w:p>
    <w:p w14:paraId="588B0C5E" w14:textId="77777777" w:rsidR="00A66B08" w:rsidRDefault="00A66B08" w:rsidP="00A66B08">
      <w:pPr>
        <w:jc w:val="both"/>
        <w:rPr>
          <w:b/>
          <w:bCs/>
          <w:u w:val="single"/>
        </w:rPr>
      </w:pPr>
      <w:r w:rsidRPr="00866935">
        <w:rPr>
          <w:b/>
          <w:bCs/>
          <w:u w:val="single"/>
        </w:rPr>
        <w:t>Observation 3.1</w:t>
      </w:r>
      <w:r>
        <w:rPr>
          <w:b/>
          <w:bCs/>
          <w:u w:val="single"/>
        </w:rPr>
        <w:t>:</w:t>
      </w:r>
    </w:p>
    <w:p w14:paraId="69666862" w14:textId="77777777" w:rsidR="00A66B08" w:rsidRDefault="00A66B08" w:rsidP="00A66B08">
      <w:pPr>
        <w:jc w:val="both"/>
        <w:rPr>
          <w:b/>
          <w:bCs/>
        </w:rPr>
      </w:pPr>
      <w:r>
        <w:rPr>
          <w:b/>
          <w:bCs/>
        </w:rPr>
        <w:t xml:space="preserve">For a supported simultaneous operation mode at an IAB-node, the assistant information on whether FDM is required or not can be beneficial </w:t>
      </w:r>
    </w:p>
    <w:p w14:paraId="18BF7509" w14:textId="77777777" w:rsidR="00A66B08" w:rsidRDefault="00A66B08" w:rsidP="00A66B08">
      <w:pPr>
        <w:pStyle w:val="ListParagraph"/>
        <w:numPr>
          <w:ilvl w:val="0"/>
          <w:numId w:val="1"/>
        </w:numPr>
        <w:jc w:val="both"/>
        <w:rPr>
          <w:b/>
          <w:bCs/>
        </w:rPr>
      </w:pPr>
      <w:r>
        <w:rPr>
          <w:b/>
          <w:bCs/>
        </w:rPr>
        <w:t>for the donor-DU to determine more efficient H/S/NA resource pattern,</w:t>
      </w:r>
    </w:p>
    <w:p w14:paraId="03F9904C" w14:textId="77777777" w:rsidR="00A66B08" w:rsidRDefault="00A66B08" w:rsidP="00A66B08">
      <w:pPr>
        <w:pStyle w:val="ListParagraph"/>
        <w:numPr>
          <w:ilvl w:val="0"/>
          <w:numId w:val="1"/>
        </w:numPr>
        <w:jc w:val="both"/>
        <w:rPr>
          <w:b/>
          <w:bCs/>
        </w:rPr>
      </w:pPr>
      <w:r w:rsidRPr="00A03281">
        <w:rPr>
          <w:b/>
          <w:bCs/>
        </w:rPr>
        <w:t>for the parent node to make more optimized decision on coordinating soft resources with its child node.</w:t>
      </w:r>
    </w:p>
    <w:p w14:paraId="182165AA" w14:textId="77777777" w:rsidR="00A66B08" w:rsidRPr="00A03281" w:rsidRDefault="00A66B08" w:rsidP="00A66B08">
      <w:pPr>
        <w:jc w:val="both"/>
        <w:rPr>
          <w:b/>
          <w:bCs/>
        </w:rPr>
      </w:pPr>
      <w:r w:rsidRPr="00A03281">
        <w:rPr>
          <w:b/>
          <w:bCs/>
          <w:u w:val="single"/>
        </w:rPr>
        <w:t>Proposal 3.1:</w:t>
      </w:r>
      <w:r w:rsidRPr="00A03281">
        <w:rPr>
          <w:b/>
          <w:bCs/>
        </w:rPr>
        <w:t xml:space="preserve"> </w:t>
      </w:r>
    </w:p>
    <w:p w14:paraId="5445EB1F" w14:textId="77777777" w:rsidR="00A66B08" w:rsidRDefault="00A66B08" w:rsidP="00A66B08">
      <w:pPr>
        <w:jc w:val="both"/>
        <w:rPr>
          <w:b/>
          <w:bCs/>
        </w:rPr>
      </w:pPr>
      <w:r w:rsidRPr="00A03281">
        <w:rPr>
          <w:b/>
          <w:bCs/>
        </w:rPr>
        <w:t>Support indication of whether FDM is required or not for a simultaneous operation mode to donor-CU and/or parent node.</w:t>
      </w:r>
    </w:p>
    <w:p w14:paraId="1959DF3A" w14:textId="77777777" w:rsidR="00A66B08" w:rsidRDefault="00A66B08" w:rsidP="00A66B08">
      <w:pPr>
        <w:spacing w:after="0"/>
        <w:jc w:val="both"/>
        <w:rPr>
          <w:b/>
          <w:bCs/>
        </w:rPr>
      </w:pPr>
      <w:r>
        <w:rPr>
          <w:b/>
          <w:bCs/>
          <w:u w:val="single"/>
        </w:rPr>
        <w:t>Proposal</w:t>
      </w:r>
      <w:r w:rsidRPr="00B41255">
        <w:rPr>
          <w:b/>
          <w:bCs/>
          <w:u w:val="single"/>
        </w:rPr>
        <w:t xml:space="preserve"> </w:t>
      </w:r>
      <w:r>
        <w:rPr>
          <w:b/>
          <w:bCs/>
          <w:u w:val="single"/>
        </w:rPr>
        <w:t>3.2</w:t>
      </w:r>
      <w:r w:rsidRPr="00B41255">
        <w:rPr>
          <w:b/>
          <w:bCs/>
          <w:u w:val="single"/>
        </w:rPr>
        <w:t>:</w:t>
      </w:r>
      <w:r>
        <w:rPr>
          <w:b/>
          <w:bCs/>
        </w:rPr>
        <w:t xml:space="preserve"> </w:t>
      </w:r>
    </w:p>
    <w:p w14:paraId="27D57B2E" w14:textId="77777777" w:rsidR="00A66B08" w:rsidRDefault="00A66B08" w:rsidP="00A66B08">
      <w:pPr>
        <w:spacing w:after="0"/>
        <w:jc w:val="both"/>
        <w:rPr>
          <w:b/>
          <w:bCs/>
        </w:rPr>
      </w:pPr>
    </w:p>
    <w:p w14:paraId="43E355A6" w14:textId="77777777" w:rsidR="00A66B08" w:rsidRDefault="00A66B08" w:rsidP="00A66B08">
      <w:pPr>
        <w:spacing w:after="0"/>
        <w:jc w:val="both"/>
        <w:rPr>
          <w:b/>
          <w:bCs/>
        </w:rPr>
      </w:pPr>
      <w:r w:rsidRPr="005B0F21">
        <w:rPr>
          <w:b/>
          <w:bCs/>
        </w:rPr>
        <w:t>Support dynamic indication by the IAB-node to its parent-node to indicate applicability of simultaneous operation modes</w:t>
      </w:r>
      <w:r>
        <w:rPr>
          <w:b/>
          <w:bCs/>
        </w:rPr>
        <w:t>.</w:t>
      </w:r>
    </w:p>
    <w:p w14:paraId="03599527" w14:textId="77777777" w:rsidR="00A66B08" w:rsidRDefault="00A66B08" w:rsidP="00A66B08">
      <w:pPr>
        <w:pStyle w:val="ListParagraph"/>
        <w:numPr>
          <w:ilvl w:val="0"/>
          <w:numId w:val="15"/>
        </w:numPr>
        <w:spacing w:after="0"/>
        <w:jc w:val="both"/>
        <w:rPr>
          <w:b/>
          <w:bCs/>
        </w:rPr>
      </w:pPr>
      <w:r>
        <w:rPr>
          <w:b/>
          <w:bCs/>
        </w:rPr>
        <w:t xml:space="preserve">FFS: indicated in the same signaling for required conditions. </w:t>
      </w:r>
    </w:p>
    <w:p w14:paraId="1EBBB676" w14:textId="77777777" w:rsidR="00A66B08" w:rsidRPr="00A03281" w:rsidRDefault="00A66B08" w:rsidP="00A66B08">
      <w:pPr>
        <w:pStyle w:val="ListParagraph"/>
        <w:numPr>
          <w:ilvl w:val="0"/>
          <w:numId w:val="15"/>
        </w:numPr>
        <w:spacing w:after="0"/>
        <w:jc w:val="both"/>
        <w:rPr>
          <w:b/>
          <w:bCs/>
        </w:rPr>
      </w:pPr>
      <w:r w:rsidRPr="00A03281">
        <w:rPr>
          <w:b/>
          <w:bCs/>
        </w:rPr>
        <w:t>FFS: support of dynamic overriding Rel-16 time-domain configuration by Rel-17 frequency-domain configuration based on indication of applicability of simultaneous operation modes.</w:t>
      </w:r>
    </w:p>
    <w:p w14:paraId="225396AC" w14:textId="77777777" w:rsidR="00A66B08" w:rsidRDefault="00A66B08" w:rsidP="00A66B08">
      <w:pPr>
        <w:jc w:val="both"/>
        <w:rPr>
          <w:b/>
          <w:bCs/>
        </w:rPr>
      </w:pPr>
    </w:p>
    <w:p w14:paraId="7BC81B19" w14:textId="77777777" w:rsidR="00A66B08" w:rsidRPr="004C17D0" w:rsidRDefault="00A66B08" w:rsidP="00A66B08">
      <w:pPr>
        <w:rPr>
          <w:b/>
          <w:bCs/>
          <w:u w:val="single"/>
        </w:rPr>
      </w:pPr>
      <w:r>
        <w:rPr>
          <w:b/>
          <w:bCs/>
          <w:u w:val="single"/>
        </w:rPr>
        <w:t>Observation</w:t>
      </w:r>
      <w:r w:rsidRPr="004C17D0">
        <w:rPr>
          <w:b/>
          <w:bCs/>
          <w:u w:val="single"/>
        </w:rPr>
        <w:t xml:space="preserve"> </w:t>
      </w:r>
      <w:r>
        <w:rPr>
          <w:b/>
          <w:bCs/>
          <w:u w:val="single"/>
        </w:rPr>
        <w:t>3</w:t>
      </w:r>
      <w:r w:rsidRPr="004C17D0">
        <w:rPr>
          <w:b/>
          <w:bCs/>
          <w:u w:val="single"/>
        </w:rPr>
        <w:t>.</w:t>
      </w:r>
      <w:r>
        <w:rPr>
          <w:b/>
          <w:bCs/>
          <w:u w:val="single"/>
        </w:rPr>
        <w:t>2</w:t>
      </w:r>
      <w:r w:rsidRPr="004C17D0">
        <w:rPr>
          <w:b/>
          <w:bCs/>
          <w:u w:val="single"/>
        </w:rPr>
        <w:t>:</w:t>
      </w:r>
    </w:p>
    <w:p w14:paraId="46C48D63" w14:textId="77777777" w:rsidR="00A66B08" w:rsidRDefault="00A66B08" w:rsidP="00A66B08">
      <w:pPr>
        <w:rPr>
          <w:b/>
          <w:bCs/>
          <w:szCs w:val="18"/>
          <w:lang w:eastAsia="ja-JP"/>
        </w:rPr>
      </w:pPr>
      <w:r>
        <w:rPr>
          <w:b/>
          <w:bCs/>
          <w:szCs w:val="18"/>
          <w:lang w:eastAsia="ja-JP"/>
        </w:rPr>
        <w:t>Rel-17 supports quite a few new types of switching across combinations of MT/DU timing cases, and MT/DU multiplexing modes.</w:t>
      </w:r>
    </w:p>
    <w:p w14:paraId="7D70D9D1" w14:textId="77777777" w:rsidR="00A66B08" w:rsidRDefault="00A66B08" w:rsidP="00A66B08">
      <w:pPr>
        <w:jc w:val="both"/>
        <w:rPr>
          <w:b/>
          <w:bCs/>
          <w:szCs w:val="18"/>
          <w:lang w:eastAsia="ja-JP"/>
        </w:rPr>
      </w:pPr>
      <w:r>
        <w:rPr>
          <w:b/>
          <w:bCs/>
          <w:szCs w:val="18"/>
          <w:lang w:eastAsia="ja-JP"/>
        </w:rPr>
        <w:t>Each switch type may require a different number of guard symbols. However, supporting an indication of desired/provided guard symbols for all switch types will lead to a large signaling overhead.</w:t>
      </w:r>
    </w:p>
    <w:p w14:paraId="6D61125F" w14:textId="77777777" w:rsidR="00A66B08" w:rsidRPr="004C17D0" w:rsidRDefault="00A66B08" w:rsidP="00A66B08">
      <w:pPr>
        <w:rPr>
          <w:b/>
          <w:bCs/>
          <w:u w:val="single"/>
        </w:rPr>
      </w:pPr>
      <w:r>
        <w:rPr>
          <w:b/>
          <w:bCs/>
          <w:u w:val="single"/>
        </w:rPr>
        <w:t>Observation</w:t>
      </w:r>
      <w:r w:rsidRPr="004C17D0">
        <w:rPr>
          <w:b/>
          <w:bCs/>
          <w:u w:val="single"/>
        </w:rPr>
        <w:t xml:space="preserve"> </w:t>
      </w:r>
      <w:r>
        <w:rPr>
          <w:b/>
          <w:bCs/>
          <w:u w:val="single"/>
        </w:rPr>
        <w:t>3</w:t>
      </w:r>
      <w:r w:rsidRPr="004C17D0">
        <w:rPr>
          <w:b/>
          <w:bCs/>
          <w:u w:val="single"/>
        </w:rPr>
        <w:t>.</w:t>
      </w:r>
      <w:r>
        <w:rPr>
          <w:b/>
          <w:bCs/>
          <w:u w:val="single"/>
        </w:rPr>
        <w:t>3</w:t>
      </w:r>
      <w:r w:rsidRPr="004C17D0">
        <w:rPr>
          <w:b/>
          <w:bCs/>
          <w:u w:val="single"/>
        </w:rPr>
        <w:t>:</w:t>
      </w:r>
    </w:p>
    <w:p w14:paraId="400AB2A2" w14:textId="77777777" w:rsidR="00A66B08" w:rsidRDefault="00A66B08" w:rsidP="00A66B08">
      <w:pPr>
        <w:jc w:val="both"/>
        <w:rPr>
          <w:b/>
          <w:bCs/>
          <w:szCs w:val="18"/>
          <w:lang w:eastAsia="ja-JP"/>
        </w:rPr>
      </w:pPr>
      <w:r>
        <w:rPr>
          <w:b/>
          <w:bCs/>
          <w:szCs w:val="18"/>
          <w:lang w:eastAsia="ja-JP"/>
        </w:rPr>
        <w:t xml:space="preserve">To support extension of </w:t>
      </w:r>
      <w:r w:rsidRPr="005E38C6">
        <w:rPr>
          <w:b/>
          <w:bCs/>
          <w:color w:val="222222"/>
          <w:szCs w:val="18"/>
          <w:lang w:eastAsia="ko-KR"/>
        </w:rPr>
        <w:t xml:space="preserve">Desired/Provided Guard Symbols </w:t>
      </w:r>
      <w:r>
        <w:rPr>
          <w:b/>
          <w:bCs/>
          <w:szCs w:val="18"/>
          <w:lang w:eastAsia="ja-JP"/>
        </w:rPr>
        <w:t>to a new UL RX timing at a DU (based on Case 7) will further require providing the parent-node if/when the IAB-DU adopts Case 7 UL RX timing. This is not justified, due to its large signaling overhead, and questionable benefit.</w:t>
      </w:r>
    </w:p>
    <w:p w14:paraId="7573CEE2" w14:textId="77777777" w:rsidR="00A66B08" w:rsidRPr="004C17D0" w:rsidRDefault="00A66B08" w:rsidP="00A66B08">
      <w:pPr>
        <w:rPr>
          <w:b/>
          <w:bCs/>
          <w:u w:val="single"/>
        </w:rPr>
      </w:pPr>
      <w:r>
        <w:rPr>
          <w:b/>
          <w:bCs/>
          <w:u w:val="single"/>
        </w:rPr>
        <w:t>Proposal</w:t>
      </w:r>
      <w:r w:rsidRPr="004C17D0">
        <w:rPr>
          <w:b/>
          <w:bCs/>
          <w:u w:val="single"/>
        </w:rPr>
        <w:t xml:space="preserve"> </w:t>
      </w:r>
      <w:r>
        <w:rPr>
          <w:b/>
          <w:bCs/>
          <w:u w:val="single"/>
        </w:rPr>
        <w:t>3</w:t>
      </w:r>
      <w:r w:rsidRPr="004C17D0">
        <w:rPr>
          <w:b/>
          <w:bCs/>
          <w:u w:val="single"/>
        </w:rPr>
        <w:t>.</w:t>
      </w:r>
      <w:r>
        <w:rPr>
          <w:b/>
          <w:bCs/>
          <w:u w:val="single"/>
        </w:rPr>
        <w:t>3</w:t>
      </w:r>
      <w:r w:rsidRPr="004C17D0">
        <w:rPr>
          <w:b/>
          <w:bCs/>
          <w:u w:val="single"/>
        </w:rPr>
        <w:t>:</w:t>
      </w:r>
    </w:p>
    <w:p w14:paraId="76D4B2BA" w14:textId="77777777" w:rsidR="00A66B08" w:rsidRDefault="00A66B08" w:rsidP="00A66B08">
      <w:pPr>
        <w:rPr>
          <w:b/>
          <w:bCs/>
          <w:color w:val="222222"/>
          <w:szCs w:val="18"/>
          <w:lang w:eastAsia="ko-KR"/>
        </w:rPr>
      </w:pPr>
      <w:r w:rsidRPr="005E38C6">
        <w:rPr>
          <w:b/>
          <w:bCs/>
          <w:color w:val="222222"/>
          <w:szCs w:val="18"/>
          <w:lang w:eastAsia="ko-KR"/>
        </w:rPr>
        <w:t>MAC-CE signaling of Desired/Provided Guard Symbols is</w:t>
      </w:r>
      <w:r>
        <w:rPr>
          <w:b/>
          <w:bCs/>
          <w:color w:val="222222"/>
          <w:szCs w:val="18"/>
          <w:lang w:eastAsia="ko-KR"/>
        </w:rPr>
        <w:t xml:space="preserve"> extended to support the following switch types:</w:t>
      </w:r>
    </w:p>
    <w:p w14:paraId="58D988DF" w14:textId="77777777" w:rsidR="00A66B08" w:rsidRDefault="00A66B08" w:rsidP="00A66B08">
      <w:pPr>
        <w:pStyle w:val="ListParagraph"/>
        <w:numPr>
          <w:ilvl w:val="0"/>
          <w:numId w:val="16"/>
        </w:numPr>
        <w:rPr>
          <w:b/>
          <w:bCs/>
        </w:rPr>
      </w:pPr>
      <w:r w:rsidRPr="002E3242">
        <w:rPr>
          <w:b/>
          <w:bCs/>
        </w:rPr>
        <w:t xml:space="preserve">MT TX </w:t>
      </w:r>
      <w:r>
        <w:rPr>
          <w:b/>
          <w:bCs/>
        </w:rPr>
        <w:t xml:space="preserve">based on Case 7 UL timing to/from DU RX, and </w:t>
      </w:r>
      <w:r w:rsidRPr="002E3242">
        <w:rPr>
          <w:b/>
          <w:bCs/>
        </w:rPr>
        <w:t xml:space="preserve">MT TX </w:t>
      </w:r>
      <w:r>
        <w:rPr>
          <w:b/>
          <w:bCs/>
        </w:rPr>
        <w:t>based on Case 7 UL timing to/from DU TX</w:t>
      </w:r>
    </w:p>
    <w:p w14:paraId="2C64C43B" w14:textId="77777777" w:rsidR="00A66B08" w:rsidRPr="00A03281" w:rsidRDefault="00A66B08" w:rsidP="00A66B08">
      <w:pPr>
        <w:pStyle w:val="ListParagraph"/>
        <w:numPr>
          <w:ilvl w:val="0"/>
          <w:numId w:val="16"/>
        </w:numPr>
        <w:rPr>
          <w:b/>
          <w:bCs/>
        </w:rPr>
      </w:pPr>
      <w:r w:rsidRPr="00A03281">
        <w:rPr>
          <w:b/>
          <w:bCs/>
        </w:rPr>
        <w:t>MT TX based on Case 6 UL timing to/from DU RX, and MT TX based on Case 6 UL timing to/from DU TX</w:t>
      </w:r>
    </w:p>
    <w:p w14:paraId="30C8D085" w14:textId="77777777" w:rsidR="00A66B08" w:rsidRPr="00A03281" w:rsidRDefault="00A66B08" w:rsidP="00A66B08">
      <w:pPr>
        <w:jc w:val="both"/>
        <w:rPr>
          <w:b/>
          <w:bCs/>
        </w:rPr>
      </w:pPr>
      <w:r w:rsidRPr="00A03281">
        <w:rPr>
          <w:b/>
          <w:bCs/>
          <w:u w:val="single"/>
        </w:rPr>
        <w:t>Proposal 3.4:</w:t>
      </w:r>
      <w:r w:rsidRPr="00A03281">
        <w:rPr>
          <w:b/>
          <w:bCs/>
        </w:rPr>
        <w:t xml:space="preserve"> </w:t>
      </w:r>
    </w:p>
    <w:p w14:paraId="22F443ED" w14:textId="77777777" w:rsidR="00A66B08" w:rsidRDefault="00A66B08" w:rsidP="00A66B08">
      <w:pPr>
        <w:jc w:val="both"/>
        <w:rPr>
          <w:b/>
          <w:bCs/>
        </w:rPr>
      </w:pPr>
      <w:r w:rsidRPr="00A03281">
        <w:rPr>
          <w:b/>
          <w:bCs/>
        </w:rPr>
        <w:lastRenderedPageBreak/>
        <w:t>An IAB-DU decides about its UL RX timing reference (e.g., whether to adopt Case 1, or Case 7) without any indication from its parent-node.</w:t>
      </w:r>
    </w:p>
    <w:p w14:paraId="0FDEAB20" w14:textId="77777777" w:rsidR="00A66B08" w:rsidRPr="00D17B55" w:rsidRDefault="00A66B08" w:rsidP="00A66B08">
      <w:pPr>
        <w:jc w:val="both"/>
        <w:rPr>
          <w:b/>
          <w:bCs/>
        </w:rPr>
      </w:pPr>
      <w:r>
        <w:rPr>
          <w:b/>
          <w:bCs/>
          <w:u w:val="single"/>
        </w:rPr>
        <w:t>Observation</w:t>
      </w:r>
      <w:r w:rsidRPr="00D17B55">
        <w:rPr>
          <w:b/>
          <w:bCs/>
          <w:u w:val="single"/>
        </w:rPr>
        <w:t xml:space="preserve"> </w:t>
      </w:r>
      <w:r>
        <w:rPr>
          <w:b/>
          <w:bCs/>
          <w:u w:val="single"/>
        </w:rPr>
        <w:t>3.4</w:t>
      </w:r>
      <w:r w:rsidRPr="00D17B55">
        <w:rPr>
          <w:b/>
          <w:bCs/>
          <w:u w:val="single"/>
        </w:rPr>
        <w:t>:</w:t>
      </w:r>
      <w:r w:rsidRPr="00D17B55">
        <w:rPr>
          <w:b/>
          <w:bCs/>
        </w:rPr>
        <w:t xml:space="preserve"> </w:t>
      </w:r>
    </w:p>
    <w:p w14:paraId="6C579DCC" w14:textId="77777777" w:rsidR="00A66B08" w:rsidRDefault="00A66B08" w:rsidP="00A66B08">
      <w:pPr>
        <w:rPr>
          <w:b/>
          <w:bCs/>
        </w:rPr>
      </w:pPr>
      <w:r>
        <w:rPr>
          <w:b/>
          <w:bCs/>
        </w:rPr>
        <w:t xml:space="preserve">An IAB-MT’s Case 6 UL TX timing is to facilitate enhanced duplexing at the IAB-node, while IAB-MT’s Case 7 UL TX timing is to facilitate enhanced duplexing at the parent-node. </w:t>
      </w:r>
    </w:p>
    <w:p w14:paraId="784D9DA2" w14:textId="77777777" w:rsidR="00A66B08" w:rsidRDefault="00A66B08" w:rsidP="00A66B08">
      <w:pPr>
        <w:rPr>
          <w:b/>
          <w:bCs/>
        </w:rPr>
      </w:pPr>
      <w:r>
        <w:rPr>
          <w:b/>
          <w:bCs/>
        </w:rPr>
        <w:t>An IAB-node cannot map Case 7 UL TX timing (of IAB-MT) to any subset of its time resources, without explicit indication from the parent-node.</w:t>
      </w:r>
    </w:p>
    <w:p w14:paraId="54A539E0" w14:textId="77777777" w:rsidR="00A66B08" w:rsidRDefault="00A66B08" w:rsidP="00A66B08">
      <w:pPr>
        <w:jc w:val="both"/>
        <w:rPr>
          <w:b/>
          <w:bCs/>
        </w:rPr>
      </w:pPr>
      <w:r>
        <w:rPr>
          <w:b/>
          <w:bCs/>
        </w:rPr>
        <w:t>It is desired to have a unified design for indication of different UL TX timing cases.</w:t>
      </w:r>
    </w:p>
    <w:p w14:paraId="61AA211D" w14:textId="77777777" w:rsidR="00A66B08" w:rsidRPr="00D17B55" w:rsidRDefault="00A66B08" w:rsidP="00A66B08">
      <w:pPr>
        <w:jc w:val="both"/>
        <w:rPr>
          <w:b/>
          <w:bCs/>
        </w:rPr>
      </w:pPr>
      <w:r>
        <w:rPr>
          <w:b/>
          <w:bCs/>
          <w:u w:val="single"/>
        </w:rPr>
        <w:t>Proposal</w:t>
      </w:r>
      <w:r w:rsidRPr="00D17B55">
        <w:rPr>
          <w:b/>
          <w:bCs/>
          <w:u w:val="single"/>
        </w:rPr>
        <w:t xml:space="preserve"> </w:t>
      </w:r>
      <w:r>
        <w:rPr>
          <w:b/>
          <w:bCs/>
          <w:u w:val="single"/>
        </w:rPr>
        <w:t>3.5</w:t>
      </w:r>
      <w:r w:rsidRPr="00D17B55">
        <w:rPr>
          <w:b/>
          <w:bCs/>
          <w:u w:val="single"/>
        </w:rPr>
        <w:t>:</w:t>
      </w:r>
      <w:r w:rsidRPr="00D17B55">
        <w:rPr>
          <w:b/>
          <w:bCs/>
        </w:rPr>
        <w:t xml:space="preserve"> </w:t>
      </w:r>
    </w:p>
    <w:p w14:paraId="56C52E19" w14:textId="77777777" w:rsidR="00A66B08" w:rsidRDefault="00A66B08" w:rsidP="00A66B08">
      <w:pPr>
        <w:rPr>
          <w:b/>
          <w:bCs/>
        </w:rPr>
      </w:pPr>
      <w:r>
        <w:rPr>
          <w:b/>
          <w:bCs/>
        </w:rPr>
        <w:t xml:space="preserve">An IAB-MT is provided with Timing Case Indication that explicitly indicates a list of slots and their associated UL TX timing cases (i.e., one of {Case 1, Case 6, Case 7} for each slot). </w:t>
      </w:r>
    </w:p>
    <w:p w14:paraId="658669BE" w14:textId="77777777" w:rsidR="00A66B08" w:rsidRDefault="00A66B08" w:rsidP="00A66B08">
      <w:pPr>
        <w:rPr>
          <w:b/>
          <w:bCs/>
        </w:rPr>
      </w:pPr>
      <w:r>
        <w:rPr>
          <w:b/>
          <w:bCs/>
        </w:rPr>
        <w:t>Timing Case Indication is provided via MAC-CE.</w:t>
      </w:r>
    </w:p>
    <w:p w14:paraId="7093971B" w14:textId="77777777" w:rsidR="00A66B08" w:rsidRPr="004C17D0" w:rsidRDefault="00A66B08" w:rsidP="00A66B08">
      <w:pPr>
        <w:rPr>
          <w:b/>
          <w:bCs/>
          <w:u w:val="single"/>
        </w:rPr>
      </w:pPr>
      <w:r w:rsidRPr="004C17D0">
        <w:rPr>
          <w:b/>
          <w:bCs/>
          <w:u w:val="single"/>
        </w:rPr>
        <w:t xml:space="preserve">Proposal </w:t>
      </w:r>
      <w:r>
        <w:rPr>
          <w:b/>
          <w:bCs/>
          <w:u w:val="single"/>
        </w:rPr>
        <w:t>3</w:t>
      </w:r>
      <w:r w:rsidRPr="004C17D0">
        <w:rPr>
          <w:b/>
          <w:bCs/>
          <w:u w:val="single"/>
        </w:rPr>
        <w:t>.</w:t>
      </w:r>
      <w:r>
        <w:rPr>
          <w:b/>
          <w:bCs/>
          <w:u w:val="single"/>
        </w:rPr>
        <w:t>6</w:t>
      </w:r>
      <w:r w:rsidRPr="004C17D0">
        <w:rPr>
          <w:b/>
          <w:bCs/>
          <w:u w:val="single"/>
        </w:rPr>
        <w:t>:</w:t>
      </w:r>
    </w:p>
    <w:p w14:paraId="6918D507" w14:textId="77777777" w:rsidR="00A66B08" w:rsidRDefault="00A66B08" w:rsidP="00A66B08">
      <w:pPr>
        <w:jc w:val="both"/>
        <w:rPr>
          <w:b/>
          <w:bCs/>
        </w:rPr>
      </w:pPr>
      <w:r>
        <w:rPr>
          <w:b/>
          <w:bCs/>
        </w:rPr>
        <w:t>Timing Case Indication received from a serving cell is applicable to all other cells in the same timing advance group (TAG).</w:t>
      </w:r>
    </w:p>
    <w:p w14:paraId="78B14EDF" w14:textId="77777777" w:rsidR="00A66B08" w:rsidRPr="00D17B55" w:rsidRDefault="00A66B08" w:rsidP="00A66B08">
      <w:pPr>
        <w:jc w:val="both"/>
        <w:rPr>
          <w:b/>
          <w:bCs/>
        </w:rPr>
      </w:pPr>
      <w:r>
        <w:rPr>
          <w:b/>
          <w:bCs/>
          <w:u w:val="single"/>
        </w:rPr>
        <w:t>Observation</w:t>
      </w:r>
      <w:r w:rsidRPr="00D17B55">
        <w:rPr>
          <w:b/>
          <w:bCs/>
          <w:u w:val="single"/>
        </w:rPr>
        <w:t xml:space="preserve"> </w:t>
      </w:r>
      <w:r>
        <w:rPr>
          <w:b/>
          <w:bCs/>
          <w:u w:val="single"/>
        </w:rPr>
        <w:t>3.5</w:t>
      </w:r>
      <w:r w:rsidRPr="00D17B55">
        <w:rPr>
          <w:b/>
          <w:bCs/>
          <w:u w:val="single"/>
        </w:rPr>
        <w:t>:</w:t>
      </w:r>
      <w:r w:rsidRPr="00D17B55">
        <w:rPr>
          <w:b/>
          <w:bCs/>
        </w:rPr>
        <w:t xml:space="preserve"> </w:t>
      </w:r>
    </w:p>
    <w:p w14:paraId="452BBF57" w14:textId="77777777" w:rsidR="00A66B08" w:rsidRDefault="00A66B08" w:rsidP="00A66B08">
      <w:pPr>
        <w:rPr>
          <w:b/>
          <w:bCs/>
        </w:rPr>
      </w:pPr>
      <w:r>
        <w:rPr>
          <w:b/>
          <w:bCs/>
        </w:rPr>
        <w:t>An IAB-MT’s need for Case 6 UL TX timing may depend on:</w:t>
      </w:r>
    </w:p>
    <w:p w14:paraId="3A585009" w14:textId="77777777" w:rsidR="00A66B08" w:rsidRDefault="00A66B08" w:rsidP="00A66B08">
      <w:pPr>
        <w:pStyle w:val="ListParagraph"/>
        <w:numPr>
          <w:ilvl w:val="0"/>
          <w:numId w:val="23"/>
        </w:numPr>
        <w:rPr>
          <w:b/>
          <w:bCs/>
        </w:rPr>
      </w:pPr>
      <w:r>
        <w:rPr>
          <w:b/>
          <w:bCs/>
        </w:rPr>
        <w:t>MT CC, and/or (MT CC, DU cell) pair</w:t>
      </w:r>
    </w:p>
    <w:p w14:paraId="69034488" w14:textId="77777777" w:rsidR="00A66B08" w:rsidRDefault="00A66B08" w:rsidP="00A66B08">
      <w:pPr>
        <w:pStyle w:val="ListParagraph"/>
        <w:numPr>
          <w:ilvl w:val="0"/>
          <w:numId w:val="23"/>
        </w:numPr>
        <w:rPr>
          <w:b/>
          <w:bCs/>
        </w:rPr>
      </w:pPr>
      <w:r>
        <w:rPr>
          <w:b/>
          <w:bCs/>
        </w:rPr>
        <w:t>IAB-node’s multiplexing mode: (MT TX, DU TX) and/or (MT TX, DU RX)</w:t>
      </w:r>
    </w:p>
    <w:p w14:paraId="3D68F863" w14:textId="77777777" w:rsidR="00A66B08" w:rsidRDefault="00A66B08" w:rsidP="00A66B08">
      <w:pPr>
        <w:pStyle w:val="ListParagraph"/>
        <w:numPr>
          <w:ilvl w:val="0"/>
          <w:numId w:val="23"/>
        </w:numPr>
        <w:rPr>
          <w:b/>
          <w:bCs/>
        </w:rPr>
      </w:pPr>
      <w:r>
        <w:rPr>
          <w:b/>
          <w:bCs/>
        </w:rPr>
        <w:t>MT’s TX beam</w:t>
      </w:r>
    </w:p>
    <w:p w14:paraId="7F0DC5C7" w14:textId="77777777" w:rsidR="00A66B08" w:rsidRPr="00E11D56" w:rsidRDefault="00A66B08" w:rsidP="00A66B08">
      <w:pPr>
        <w:pStyle w:val="ListParagraph"/>
        <w:numPr>
          <w:ilvl w:val="0"/>
          <w:numId w:val="23"/>
        </w:numPr>
        <w:rPr>
          <w:b/>
          <w:bCs/>
        </w:rPr>
      </w:pPr>
      <w:r w:rsidRPr="00E11D56">
        <w:rPr>
          <w:b/>
          <w:bCs/>
        </w:rPr>
        <w:t>Whether MT’s TX is FDMed with DU’s communications or overlaps in the frequency domain.</w:t>
      </w:r>
    </w:p>
    <w:p w14:paraId="4E695F00" w14:textId="77777777" w:rsidR="00A66B08" w:rsidRPr="004C17D0" w:rsidRDefault="00A66B08" w:rsidP="00A66B08">
      <w:pPr>
        <w:rPr>
          <w:b/>
          <w:bCs/>
          <w:u w:val="single"/>
        </w:rPr>
      </w:pPr>
      <w:r w:rsidRPr="004C17D0">
        <w:rPr>
          <w:b/>
          <w:bCs/>
          <w:u w:val="single"/>
        </w:rPr>
        <w:t xml:space="preserve">Proposal </w:t>
      </w:r>
      <w:r>
        <w:rPr>
          <w:b/>
          <w:bCs/>
          <w:u w:val="single"/>
        </w:rPr>
        <w:t>3.7</w:t>
      </w:r>
      <w:r w:rsidRPr="004C17D0">
        <w:rPr>
          <w:b/>
          <w:bCs/>
          <w:u w:val="single"/>
        </w:rPr>
        <w:t>:</w:t>
      </w:r>
    </w:p>
    <w:p w14:paraId="3B6E58A5" w14:textId="77777777" w:rsidR="00A66B08" w:rsidRDefault="00A66B08" w:rsidP="00A66B08">
      <w:pPr>
        <w:rPr>
          <w:b/>
          <w:bCs/>
        </w:rPr>
      </w:pPr>
      <w:r>
        <w:rPr>
          <w:b/>
          <w:bCs/>
        </w:rPr>
        <w:t xml:space="preserve">IAB-MT indicates, to its parent-node, whether it desires Case 6 UL TX timing, for a given MT CC, to facilitate simultaneous IAB-MT’s TX and IAB-DU’s TX and/or RX. </w:t>
      </w:r>
    </w:p>
    <w:p w14:paraId="134B7D06" w14:textId="77777777" w:rsidR="00A66B08" w:rsidRDefault="00A66B08" w:rsidP="00A66B08">
      <w:pPr>
        <w:pStyle w:val="ListParagraph"/>
        <w:numPr>
          <w:ilvl w:val="0"/>
          <w:numId w:val="23"/>
        </w:numPr>
        <w:rPr>
          <w:b/>
          <w:bCs/>
        </w:rPr>
      </w:pPr>
      <w:r w:rsidRPr="00332DEB">
        <w:rPr>
          <w:b/>
          <w:bCs/>
        </w:rPr>
        <w:t xml:space="preserve">FFS: whether this indication </w:t>
      </w:r>
      <w:r>
        <w:rPr>
          <w:b/>
          <w:bCs/>
        </w:rPr>
        <w:t>can</w:t>
      </w:r>
      <w:r w:rsidRPr="00332DEB">
        <w:rPr>
          <w:b/>
          <w:bCs/>
        </w:rPr>
        <w:t xml:space="preserve"> further </w:t>
      </w:r>
      <w:r>
        <w:rPr>
          <w:b/>
          <w:bCs/>
        </w:rPr>
        <w:t xml:space="preserve">be </w:t>
      </w:r>
      <w:r w:rsidRPr="00332DEB">
        <w:rPr>
          <w:b/>
          <w:bCs/>
        </w:rPr>
        <w:t>beam specific.</w:t>
      </w:r>
    </w:p>
    <w:p w14:paraId="520802CE" w14:textId="77777777" w:rsidR="00A66B08" w:rsidRPr="00BE6BBA" w:rsidRDefault="00A66B08" w:rsidP="00A66B08">
      <w:pPr>
        <w:pStyle w:val="ListParagraph"/>
        <w:numPr>
          <w:ilvl w:val="0"/>
          <w:numId w:val="23"/>
        </w:numPr>
        <w:rPr>
          <w:b/>
          <w:bCs/>
        </w:rPr>
      </w:pPr>
      <w:r w:rsidRPr="00BE6BBA">
        <w:rPr>
          <w:b/>
          <w:bCs/>
        </w:rPr>
        <w:t>FFS: whether this indication can further depend on whether IAB-MT’s TX is FDMed with IAB-DU’s communications or not.</w:t>
      </w:r>
    </w:p>
    <w:p w14:paraId="18607872" w14:textId="77777777" w:rsidR="00A66B08" w:rsidRDefault="00A66B08" w:rsidP="00A66B08">
      <w:pPr>
        <w:pStyle w:val="ListParagraph"/>
        <w:rPr>
          <w:b/>
          <w:bCs/>
          <w:u w:val="single"/>
        </w:rPr>
      </w:pPr>
    </w:p>
    <w:p w14:paraId="47F97E90" w14:textId="77777777" w:rsidR="00A66B08" w:rsidRPr="0054495E" w:rsidRDefault="00A66B08" w:rsidP="00A66B08">
      <w:pPr>
        <w:rPr>
          <w:b/>
          <w:bCs/>
          <w:u w:val="single"/>
        </w:rPr>
      </w:pPr>
      <w:r w:rsidRPr="0054495E">
        <w:rPr>
          <w:b/>
          <w:bCs/>
          <w:u w:val="single"/>
        </w:rPr>
        <w:t>Observation 4.1:</w:t>
      </w:r>
    </w:p>
    <w:p w14:paraId="49792949" w14:textId="77777777" w:rsidR="00A66B08" w:rsidRPr="0054495E" w:rsidRDefault="00A66B08" w:rsidP="00A66B08">
      <w:pPr>
        <w:rPr>
          <w:b/>
          <w:bCs/>
        </w:rPr>
      </w:pPr>
      <w:r w:rsidRPr="0054495E">
        <w:rPr>
          <w:b/>
          <w:bCs/>
        </w:rPr>
        <w:t>Indication of “not-preferred” IAB-MT’s beam(s) (in addition or instead of recommended beam(s)) may provide more efficient and flexible assistance information. It can also effectively be used to indicate required fallback to TDMing, when an enhanced multiplexing mode of operation is not supported.</w:t>
      </w:r>
    </w:p>
    <w:p w14:paraId="4831C098" w14:textId="77777777" w:rsidR="00A66B08" w:rsidRPr="0054495E" w:rsidRDefault="00A66B08" w:rsidP="00A66B08">
      <w:pPr>
        <w:rPr>
          <w:b/>
          <w:bCs/>
          <w:u w:val="single"/>
        </w:rPr>
      </w:pPr>
      <w:r w:rsidRPr="0054495E">
        <w:rPr>
          <w:b/>
          <w:bCs/>
          <w:u w:val="single"/>
        </w:rPr>
        <w:t>Proposal 4.1:</w:t>
      </w:r>
    </w:p>
    <w:p w14:paraId="37B65059" w14:textId="77777777" w:rsidR="00A66B08" w:rsidRPr="0054495E" w:rsidRDefault="00A66B08" w:rsidP="00A66B08">
      <w:pPr>
        <w:jc w:val="both"/>
        <w:rPr>
          <w:b/>
          <w:bCs/>
        </w:rPr>
      </w:pPr>
      <w:r w:rsidRPr="0054495E">
        <w:rPr>
          <w:b/>
          <w:bCs/>
        </w:rPr>
        <w:t>Further support indication of not-preferred IAB-MT’s beam(s) (for both TX and RX) to the parent-node.</w:t>
      </w:r>
    </w:p>
    <w:p w14:paraId="68354AF5" w14:textId="77777777" w:rsidR="00A66B08" w:rsidRDefault="00A66B08" w:rsidP="00A66B08">
      <w:pPr>
        <w:rPr>
          <w:b/>
          <w:bCs/>
          <w:u w:val="single"/>
        </w:rPr>
      </w:pPr>
      <w:r w:rsidRPr="00022467">
        <w:rPr>
          <w:b/>
          <w:bCs/>
          <w:u w:val="single"/>
        </w:rPr>
        <w:t xml:space="preserve">Observation </w:t>
      </w:r>
      <w:r>
        <w:rPr>
          <w:b/>
          <w:bCs/>
          <w:u w:val="single"/>
        </w:rPr>
        <w:t>4</w:t>
      </w:r>
      <w:r w:rsidRPr="00022467">
        <w:rPr>
          <w:b/>
          <w:bCs/>
          <w:u w:val="single"/>
        </w:rPr>
        <w:t>.</w:t>
      </w:r>
      <w:r>
        <w:rPr>
          <w:b/>
          <w:bCs/>
          <w:u w:val="single"/>
        </w:rPr>
        <w:t>2</w:t>
      </w:r>
      <w:r w:rsidRPr="00022467">
        <w:rPr>
          <w:b/>
          <w:bCs/>
          <w:u w:val="single"/>
        </w:rPr>
        <w:t>:</w:t>
      </w:r>
    </w:p>
    <w:p w14:paraId="5F899708" w14:textId="77777777" w:rsidR="00A66B08" w:rsidRDefault="00A66B08" w:rsidP="00A66B08">
      <w:pPr>
        <w:jc w:val="both"/>
        <w:rPr>
          <w:b/>
          <w:bCs/>
        </w:rPr>
      </w:pPr>
      <w:r>
        <w:rPr>
          <w:b/>
          <w:bCs/>
        </w:rPr>
        <w:t>The parent-node should further be provided with information about the resources for which indicated recommended/not-preferred beam(s) are applicable.</w:t>
      </w:r>
    </w:p>
    <w:p w14:paraId="3C73FBAD" w14:textId="77777777" w:rsidR="00A66B08" w:rsidRPr="004C17D0" w:rsidRDefault="00A66B08" w:rsidP="00A66B08">
      <w:pPr>
        <w:rPr>
          <w:b/>
          <w:bCs/>
          <w:u w:val="single"/>
        </w:rPr>
      </w:pPr>
      <w:r>
        <w:rPr>
          <w:b/>
          <w:bCs/>
          <w:u w:val="single"/>
        </w:rPr>
        <w:t>Proposal</w:t>
      </w:r>
      <w:r w:rsidRPr="004C17D0">
        <w:rPr>
          <w:b/>
          <w:bCs/>
          <w:u w:val="single"/>
        </w:rPr>
        <w:t xml:space="preserve"> </w:t>
      </w:r>
      <w:r>
        <w:rPr>
          <w:b/>
          <w:bCs/>
          <w:u w:val="single"/>
        </w:rPr>
        <w:t>4.2</w:t>
      </w:r>
      <w:r w:rsidRPr="004C17D0">
        <w:rPr>
          <w:b/>
          <w:bCs/>
          <w:u w:val="single"/>
        </w:rPr>
        <w:t>:</w:t>
      </w:r>
    </w:p>
    <w:p w14:paraId="488AF9A8" w14:textId="77777777" w:rsidR="00A66B08" w:rsidRPr="001B210B" w:rsidRDefault="00A66B08" w:rsidP="00A66B08">
      <w:pPr>
        <w:rPr>
          <w:b/>
          <w:bCs/>
          <w:lang w:eastAsia="ja-JP"/>
        </w:rPr>
      </w:pPr>
      <w:r w:rsidRPr="001B210B">
        <w:rPr>
          <w:b/>
          <w:bCs/>
          <w:szCs w:val="18"/>
          <w:lang w:eastAsia="ja-JP"/>
        </w:rPr>
        <w:t xml:space="preserve">The </w:t>
      </w:r>
      <w:r>
        <w:rPr>
          <w:b/>
          <w:bCs/>
          <w:szCs w:val="18"/>
          <w:lang w:eastAsia="ja-JP"/>
        </w:rPr>
        <w:t>recommended and/or not-preferred IAB-MT’s beam(s)</w:t>
      </w:r>
      <w:r w:rsidRPr="001B210B">
        <w:rPr>
          <w:b/>
          <w:bCs/>
          <w:szCs w:val="18"/>
          <w:lang w:eastAsia="ja-JP"/>
        </w:rPr>
        <w:t>, indicated by the IAB-MT to its parent-node, can be provided for:</w:t>
      </w:r>
    </w:p>
    <w:p w14:paraId="16988BC2" w14:textId="77777777" w:rsidR="00A66B08" w:rsidRPr="001B210B" w:rsidRDefault="00A66B08" w:rsidP="00A66B08">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t>A specific multiplexing mode – i.e., (MT RX, DU RX)</w:t>
      </w:r>
      <w:r>
        <w:rPr>
          <w:b/>
          <w:bCs/>
          <w:szCs w:val="18"/>
        </w:rPr>
        <w:t xml:space="preserve">, </w:t>
      </w:r>
      <w:r w:rsidRPr="001B210B">
        <w:rPr>
          <w:b/>
          <w:bCs/>
          <w:szCs w:val="18"/>
        </w:rPr>
        <w:t xml:space="preserve">(MT </w:t>
      </w:r>
      <w:r>
        <w:rPr>
          <w:b/>
          <w:bCs/>
          <w:szCs w:val="18"/>
        </w:rPr>
        <w:t>T</w:t>
      </w:r>
      <w:r w:rsidRPr="001B210B">
        <w:rPr>
          <w:b/>
          <w:bCs/>
          <w:szCs w:val="18"/>
        </w:rPr>
        <w:t>X, DU TX)</w:t>
      </w:r>
      <w:r>
        <w:rPr>
          <w:b/>
          <w:bCs/>
          <w:szCs w:val="18"/>
        </w:rPr>
        <w:t xml:space="preserve">, </w:t>
      </w:r>
      <w:r w:rsidRPr="001B210B">
        <w:rPr>
          <w:b/>
          <w:bCs/>
          <w:szCs w:val="18"/>
        </w:rPr>
        <w:t>(MT RX, DU TX)</w:t>
      </w:r>
      <w:r>
        <w:rPr>
          <w:b/>
          <w:bCs/>
          <w:szCs w:val="18"/>
        </w:rPr>
        <w:t xml:space="preserve">, </w:t>
      </w:r>
      <w:r w:rsidRPr="001B210B">
        <w:rPr>
          <w:b/>
          <w:bCs/>
          <w:szCs w:val="18"/>
        </w:rPr>
        <w:t xml:space="preserve">(MT </w:t>
      </w:r>
      <w:r>
        <w:rPr>
          <w:b/>
          <w:bCs/>
          <w:szCs w:val="18"/>
        </w:rPr>
        <w:t>T</w:t>
      </w:r>
      <w:r w:rsidRPr="001B210B">
        <w:rPr>
          <w:b/>
          <w:bCs/>
          <w:szCs w:val="18"/>
        </w:rPr>
        <w:t xml:space="preserve">X, DU </w:t>
      </w:r>
      <w:r>
        <w:rPr>
          <w:b/>
          <w:bCs/>
          <w:szCs w:val="18"/>
        </w:rPr>
        <w:t>R</w:t>
      </w:r>
      <w:r w:rsidRPr="001B210B">
        <w:rPr>
          <w:b/>
          <w:bCs/>
          <w:szCs w:val="18"/>
        </w:rPr>
        <w:t>X)</w:t>
      </w:r>
    </w:p>
    <w:p w14:paraId="75365043" w14:textId="77777777" w:rsidR="00A66B08" w:rsidRPr="001B210B" w:rsidRDefault="00A66B08" w:rsidP="00A66B08">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t>A given (MT CC, DU cell) pair</w:t>
      </w:r>
    </w:p>
    <w:p w14:paraId="3FB222C9" w14:textId="77777777" w:rsidR="00A66B08" w:rsidRDefault="00A66B08" w:rsidP="00A66B08">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lastRenderedPageBreak/>
        <w:t xml:space="preserve">The cases where concurrent MT’s and DU’s </w:t>
      </w:r>
      <w:r>
        <w:rPr>
          <w:b/>
          <w:bCs/>
          <w:szCs w:val="18"/>
        </w:rPr>
        <w:t>communications</w:t>
      </w:r>
      <w:r w:rsidRPr="001B210B">
        <w:rPr>
          <w:b/>
          <w:bCs/>
          <w:szCs w:val="18"/>
        </w:rPr>
        <w:t xml:space="preserve"> are FDMed or overlap in the frequency domain. </w:t>
      </w:r>
    </w:p>
    <w:p w14:paraId="2FED4A05" w14:textId="77777777" w:rsidR="00A66B08" w:rsidRDefault="00A66B08" w:rsidP="00A66B08">
      <w:pPr>
        <w:pStyle w:val="ListParagraph"/>
        <w:numPr>
          <w:ilvl w:val="0"/>
          <w:numId w:val="16"/>
        </w:numPr>
        <w:overflowPunct/>
        <w:autoSpaceDE/>
        <w:autoSpaceDN/>
        <w:adjustRightInd/>
        <w:spacing w:after="160" w:line="259" w:lineRule="auto"/>
        <w:textAlignment w:val="auto"/>
        <w:rPr>
          <w:b/>
          <w:bCs/>
          <w:szCs w:val="18"/>
        </w:rPr>
      </w:pPr>
      <w:r w:rsidRPr="00A7505D">
        <w:rPr>
          <w:b/>
          <w:bCs/>
          <w:szCs w:val="18"/>
          <w:lang w:eastAsia="ja-JP"/>
        </w:rPr>
        <w:t>The indication is provided via MAC-CE.</w:t>
      </w:r>
    </w:p>
    <w:p w14:paraId="3D3D62DB" w14:textId="77777777" w:rsidR="00A66B08" w:rsidRPr="00F678BC" w:rsidRDefault="00A66B08" w:rsidP="00A66B08">
      <w:pPr>
        <w:rPr>
          <w:b/>
          <w:bCs/>
          <w:u w:val="single"/>
        </w:rPr>
      </w:pPr>
      <w:r w:rsidRPr="00F678BC">
        <w:rPr>
          <w:b/>
          <w:bCs/>
          <w:u w:val="single"/>
        </w:rPr>
        <w:t>Proposal 4.3:</w:t>
      </w:r>
    </w:p>
    <w:p w14:paraId="77063882" w14:textId="77777777" w:rsidR="00A66B08" w:rsidRPr="00F678BC" w:rsidRDefault="00A66B08" w:rsidP="00A66B08">
      <w:pPr>
        <w:overflowPunct/>
        <w:autoSpaceDE/>
        <w:autoSpaceDN/>
        <w:adjustRightInd/>
        <w:spacing w:after="160" w:line="259" w:lineRule="auto"/>
        <w:textAlignment w:val="auto"/>
        <w:rPr>
          <w:b/>
          <w:bCs/>
          <w:szCs w:val="18"/>
        </w:rPr>
      </w:pPr>
      <w:r w:rsidRPr="00F678BC">
        <w:rPr>
          <w:b/>
          <w:bCs/>
          <w:szCs w:val="18"/>
          <w:lang w:eastAsia="ja-JP"/>
        </w:rPr>
        <w:t>The recommended and/or not-preferred IAB-MT’s beam(s) are indicated based on IAB-MT’s TCI state IDs (for DL RX beam(s)), and SRI IDs (for UL TX beam(s)).</w:t>
      </w:r>
    </w:p>
    <w:p w14:paraId="44B2C1F8" w14:textId="77777777" w:rsidR="00A66B08" w:rsidRPr="004C17D0" w:rsidRDefault="00A66B08" w:rsidP="00A66B08">
      <w:pPr>
        <w:rPr>
          <w:b/>
          <w:bCs/>
          <w:u w:val="single"/>
        </w:rPr>
      </w:pPr>
      <w:r>
        <w:rPr>
          <w:b/>
          <w:bCs/>
          <w:u w:val="single"/>
        </w:rPr>
        <w:t>Proposal</w:t>
      </w:r>
      <w:r w:rsidRPr="004C17D0">
        <w:rPr>
          <w:b/>
          <w:bCs/>
          <w:u w:val="single"/>
        </w:rPr>
        <w:t xml:space="preserve"> </w:t>
      </w:r>
      <w:r>
        <w:rPr>
          <w:b/>
          <w:bCs/>
          <w:u w:val="single"/>
        </w:rPr>
        <w:t>4.4</w:t>
      </w:r>
      <w:r w:rsidRPr="004C17D0">
        <w:rPr>
          <w:b/>
          <w:bCs/>
          <w:u w:val="single"/>
        </w:rPr>
        <w:t>:</w:t>
      </w:r>
    </w:p>
    <w:p w14:paraId="18C832EB" w14:textId="77777777" w:rsidR="00A66B08" w:rsidRDefault="00A66B08" w:rsidP="00A66B08">
      <w:pPr>
        <w:jc w:val="both"/>
        <w:rPr>
          <w:b/>
          <w:bCs/>
          <w:szCs w:val="18"/>
          <w:lang w:eastAsia="ja-JP"/>
        </w:rPr>
      </w:pPr>
      <w:r w:rsidRPr="001B210B">
        <w:rPr>
          <w:b/>
          <w:bCs/>
          <w:szCs w:val="18"/>
          <w:lang w:eastAsia="ja-JP"/>
        </w:rPr>
        <w:t xml:space="preserve">The </w:t>
      </w:r>
      <w:r>
        <w:rPr>
          <w:b/>
          <w:bCs/>
          <w:szCs w:val="18"/>
          <w:lang w:eastAsia="ja-JP"/>
        </w:rPr>
        <w:t>indication of the restricted IAB-DU’s beam(s)</w:t>
      </w:r>
      <w:r w:rsidRPr="001B210B">
        <w:rPr>
          <w:b/>
          <w:bCs/>
          <w:szCs w:val="18"/>
          <w:lang w:eastAsia="ja-JP"/>
        </w:rPr>
        <w:t xml:space="preserve">, </w:t>
      </w:r>
      <w:r>
        <w:rPr>
          <w:b/>
          <w:bCs/>
          <w:szCs w:val="18"/>
          <w:lang w:eastAsia="ja-JP"/>
        </w:rPr>
        <w:t xml:space="preserve">provided </w:t>
      </w:r>
      <w:r w:rsidRPr="001B210B">
        <w:rPr>
          <w:b/>
          <w:bCs/>
          <w:szCs w:val="18"/>
          <w:lang w:eastAsia="ja-JP"/>
        </w:rPr>
        <w:t xml:space="preserve">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 xml:space="preserve">the IAB-MT, </w:t>
      </w:r>
      <w:r>
        <w:rPr>
          <w:b/>
          <w:bCs/>
          <w:szCs w:val="18"/>
          <w:lang w:eastAsia="ja-JP"/>
        </w:rPr>
        <w:t>is only applicable to the IAB-DU’s DL TX beams.</w:t>
      </w:r>
    </w:p>
    <w:p w14:paraId="53562375" w14:textId="77777777" w:rsidR="00A66B08" w:rsidRDefault="00A66B08" w:rsidP="00A66B08">
      <w:pPr>
        <w:rPr>
          <w:b/>
          <w:bCs/>
          <w:u w:val="single"/>
        </w:rPr>
      </w:pPr>
      <w:r w:rsidRPr="00022467">
        <w:rPr>
          <w:b/>
          <w:bCs/>
          <w:u w:val="single"/>
        </w:rPr>
        <w:t xml:space="preserve">Observation </w:t>
      </w:r>
      <w:r>
        <w:rPr>
          <w:b/>
          <w:bCs/>
          <w:u w:val="single"/>
        </w:rPr>
        <w:t>4.1</w:t>
      </w:r>
      <w:r w:rsidRPr="00022467">
        <w:rPr>
          <w:b/>
          <w:bCs/>
          <w:u w:val="single"/>
        </w:rPr>
        <w:t>:</w:t>
      </w:r>
    </w:p>
    <w:p w14:paraId="2A9B2149" w14:textId="77777777" w:rsidR="00A66B08" w:rsidRDefault="00A66B08" w:rsidP="00A66B08">
      <w:pPr>
        <w:rPr>
          <w:b/>
          <w:bCs/>
        </w:rPr>
      </w:pPr>
      <w:r>
        <w:rPr>
          <w:b/>
          <w:bCs/>
        </w:rPr>
        <w:t>The parent-node may know about the IAB-DU’s STC and CSI-RS configurations and use them a reference to indicate IAB-DU’s beam(s).</w:t>
      </w:r>
    </w:p>
    <w:p w14:paraId="1C58C8EF" w14:textId="77777777" w:rsidR="00A66B08" w:rsidRDefault="00A66B08" w:rsidP="00A66B08">
      <w:pPr>
        <w:rPr>
          <w:b/>
          <w:bCs/>
        </w:rPr>
      </w:pPr>
      <w:r>
        <w:rPr>
          <w:b/>
          <w:bCs/>
        </w:rPr>
        <w:t xml:space="preserve">Different IAB-DU’s STCs may be associated with different beamforming configurations. </w:t>
      </w:r>
    </w:p>
    <w:p w14:paraId="15214361" w14:textId="77777777" w:rsidR="00A66B08" w:rsidRDefault="00A66B08" w:rsidP="00A66B08">
      <w:pPr>
        <w:rPr>
          <w:b/>
          <w:bCs/>
          <w:u w:val="single"/>
        </w:rPr>
      </w:pPr>
      <w:r>
        <w:rPr>
          <w:b/>
          <w:bCs/>
          <w:u w:val="single"/>
        </w:rPr>
        <w:t>Proposal</w:t>
      </w:r>
      <w:r w:rsidRPr="00022467">
        <w:rPr>
          <w:b/>
          <w:bCs/>
          <w:u w:val="single"/>
        </w:rPr>
        <w:t xml:space="preserve"> </w:t>
      </w:r>
      <w:r>
        <w:rPr>
          <w:b/>
          <w:bCs/>
          <w:u w:val="single"/>
        </w:rPr>
        <w:t>4.5</w:t>
      </w:r>
      <w:r w:rsidRPr="00022467">
        <w:rPr>
          <w:b/>
          <w:bCs/>
          <w:u w:val="single"/>
        </w:rPr>
        <w:t>:</w:t>
      </w:r>
    </w:p>
    <w:p w14:paraId="3822AFD0" w14:textId="77777777" w:rsidR="00A66B08" w:rsidRDefault="00A66B08" w:rsidP="00A66B08">
      <w:pPr>
        <w:rPr>
          <w:b/>
          <w:bCs/>
          <w:szCs w:val="18"/>
          <w:lang w:eastAsia="ja-JP"/>
        </w:rPr>
      </w:pPr>
      <w:r w:rsidRPr="001B210B">
        <w:rPr>
          <w:b/>
          <w:bCs/>
          <w:szCs w:val="18"/>
          <w:lang w:eastAsia="ja-JP"/>
        </w:rPr>
        <w:t xml:space="preserve">The </w:t>
      </w:r>
      <w:r>
        <w:rPr>
          <w:b/>
          <w:bCs/>
          <w:szCs w:val="18"/>
          <w:lang w:eastAsia="ja-JP"/>
        </w:rPr>
        <w:t>indication of the restricted IAB-DU’s beam(s)</w:t>
      </w:r>
      <w:r w:rsidRPr="001B210B">
        <w:rPr>
          <w:b/>
          <w:bCs/>
          <w:szCs w:val="18"/>
          <w:lang w:eastAsia="ja-JP"/>
        </w:rPr>
        <w:t xml:space="preserve">, </w:t>
      </w:r>
      <w:r>
        <w:rPr>
          <w:b/>
          <w:bCs/>
          <w:szCs w:val="18"/>
          <w:lang w:eastAsia="ja-JP"/>
        </w:rPr>
        <w:t xml:space="preserve">provided </w:t>
      </w:r>
      <w:r w:rsidRPr="001B210B">
        <w:rPr>
          <w:b/>
          <w:bCs/>
          <w:szCs w:val="18"/>
          <w:lang w:eastAsia="ja-JP"/>
        </w:rPr>
        <w:t xml:space="preserve">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the IAB-MT</w:t>
      </w:r>
      <w:r>
        <w:rPr>
          <w:b/>
          <w:bCs/>
          <w:szCs w:val="18"/>
          <w:lang w:eastAsia="ja-JP"/>
        </w:rPr>
        <w:t>, is via referring to any of the following</w:t>
      </w:r>
    </w:p>
    <w:p w14:paraId="25BF94A8" w14:textId="77777777" w:rsidR="00A66B08" w:rsidRDefault="00A66B08" w:rsidP="00A66B08">
      <w:pPr>
        <w:pStyle w:val="ListParagraph"/>
        <w:numPr>
          <w:ilvl w:val="0"/>
          <w:numId w:val="16"/>
        </w:numPr>
        <w:rPr>
          <w:b/>
          <w:bCs/>
        </w:rPr>
      </w:pPr>
      <w:r>
        <w:rPr>
          <w:b/>
          <w:bCs/>
        </w:rPr>
        <w:t>IAB-DU’s CSI-RS resource indices</w:t>
      </w:r>
    </w:p>
    <w:p w14:paraId="41B6BF8E" w14:textId="77777777" w:rsidR="00A66B08" w:rsidRPr="00773EC2" w:rsidRDefault="00A66B08" w:rsidP="00A66B08">
      <w:pPr>
        <w:pStyle w:val="ListParagraph"/>
        <w:numPr>
          <w:ilvl w:val="0"/>
          <w:numId w:val="16"/>
        </w:numPr>
        <w:rPr>
          <w:b/>
          <w:bCs/>
        </w:rPr>
      </w:pPr>
      <w:r w:rsidRPr="00AB5516">
        <w:rPr>
          <w:b/>
          <w:bCs/>
        </w:rPr>
        <w:t>IAB-DU’s SSB and STC indices</w:t>
      </w:r>
    </w:p>
    <w:p w14:paraId="1ADF9237" w14:textId="77777777" w:rsidR="00A66B08" w:rsidRPr="004C17D0" w:rsidRDefault="00A66B08" w:rsidP="00A66B08">
      <w:pPr>
        <w:rPr>
          <w:b/>
          <w:bCs/>
          <w:u w:val="single"/>
        </w:rPr>
      </w:pPr>
      <w:r>
        <w:rPr>
          <w:b/>
          <w:bCs/>
          <w:u w:val="single"/>
        </w:rPr>
        <w:t>Proposal</w:t>
      </w:r>
      <w:r w:rsidRPr="004C17D0">
        <w:rPr>
          <w:b/>
          <w:bCs/>
          <w:u w:val="single"/>
        </w:rPr>
        <w:t xml:space="preserve"> </w:t>
      </w:r>
      <w:r>
        <w:rPr>
          <w:b/>
          <w:bCs/>
          <w:u w:val="single"/>
        </w:rPr>
        <w:t>4.6</w:t>
      </w:r>
      <w:r w:rsidRPr="004C17D0">
        <w:rPr>
          <w:b/>
          <w:bCs/>
          <w:u w:val="single"/>
        </w:rPr>
        <w:t>:</w:t>
      </w:r>
    </w:p>
    <w:p w14:paraId="0DF9037A" w14:textId="77777777" w:rsidR="00A66B08" w:rsidRPr="001B210B" w:rsidRDefault="00A66B08" w:rsidP="00A66B08">
      <w:pPr>
        <w:rPr>
          <w:b/>
          <w:bCs/>
          <w:lang w:eastAsia="ja-JP"/>
        </w:rPr>
      </w:pPr>
      <w:r w:rsidRPr="001B210B">
        <w:rPr>
          <w:b/>
          <w:bCs/>
          <w:szCs w:val="18"/>
          <w:lang w:eastAsia="ja-JP"/>
        </w:rPr>
        <w:t xml:space="preserve">The </w:t>
      </w:r>
      <w:r>
        <w:rPr>
          <w:b/>
          <w:bCs/>
          <w:szCs w:val="18"/>
          <w:lang w:eastAsia="ja-JP"/>
        </w:rPr>
        <w:t>restricted IAB-DU’s beam(s)</w:t>
      </w:r>
      <w:r w:rsidRPr="001B210B">
        <w:rPr>
          <w:b/>
          <w:bCs/>
          <w:szCs w:val="18"/>
          <w:lang w:eastAsia="ja-JP"/>
        </w:rPr>
        <w:t xml:space="preserve">, indicated 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the IAB-MT, can be provided for:</w:t>
      </w:r>
    </w:p>
    <w:p w14:paraId="25071B57" w14:textId="77777777" w:rsidR="00A66B08" w:rsidRPr="001B210B" w:rsidRDefault="00A66B08" w:rsidP="00A66B08">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t xml:space="preserve">A specific multiplexing mode – i.e., (MT </w:t>
      </w:r>
      <w:r>
        <w:rPr>
          <w:b/>
          <w:bCs/>
          <w:szCs w:val="18"/>
        </w:rPr>
        <w:t>T</w:t>
      </w:r>
      <w:r w:rsidRPr="001B210B">
        <w:rPr>
          <w:b/>
          <w:bCs/>
          <w:szCs w:val="18"/>
        </w:rPr>
        <w:t>X, DU TX)</w:t>
      </w:r>
      <w:r>
        <w:rPr>
          <w:b/>
          <w:bCs/>
          <w:szCs w:val="18"/>
        </w:rPr>
        <w:t xml:space="preserve">, </w:t>
      </w:r>
      <w:r w:rsidRPr="001B210B">
        <w:rPr>
          <w:b/>
          <w:bCs/>
          <w:szCs w:val="18"/>
        </w:rPr>
        <w:t>(MT RX, DU TX)</w:t>
      </w:r>
    </w:p>
    <w:p w14:paraId="1CB09F0A" w14:textId="77777777" w:rsidR="00A66B08" w:rsidRDefault="00A66B08" w:rsidP="00A66B08">
      <w:pPr>
        <w:pStyle w:val="ListParagraph"/>
        <w:numPr>
          <w:ilvl w:val="0"/>
          <w:numId w:val="16"/>
        </w:numPr>
        <w:overflowPunct/>
        <w:autoSpaceDE/>
        <w:autoSpaceDN/>
        <w:adjustRightInd/>
        <w:spacing w:after="160" w:line="259" w:lineRule="auto"/>
        <w:textAlignment w:val="auto"/>
        <w:rPr>
          <w:b/>
          <w:bCs/>
          <w:szCs w:val="18"/>
        </w:rPr>
      </w:pPr>
      <w:r>
        <w:rPr>
          <w:b/>
          <w:bCs/>
          <w:szCs w:val="18"/>
        </w:rPr>
        <w:t>A given MT’s TX/RX beam</w:t>
      </w:r>
    </w:p>
    <w:p w14:paraId="3ED21295" w14:textId="77777777" w:rsidR="00A66B08" w:rsidRDefault="00A66B08" w:rsidP="00A66B08">
      <w:pPr>
        <w:pStyle w:val="ListParagraph"/>
        <w:numPr>
          <w:ilvl w:val="0"/>
          <w:numId w:val="16"/>
        </w:numPr>
        <w:overflowPunct/>
        <w:autoSpaceDE/>
        <w:autoSpaceDN/>
        <w:adjustRightInd/>
        <w:spacing w:after="160" w:line="259" w:lineRule="auto"/>
        <w:textAlignment w:val="auto"/>
        <w:rPr>
          <w:b/>
          <w:bCs/>
          <w:szCs w:val="18"/>
        </w:rPr>
      </w:pPr>
      <w:r w:rsidRPr="001B210B">
        <w:rPr>
          <w:b/>
          <w:bCs/>
          <w:szCs w:val="18"/>
        </w:rPr>
        <w:t>A given (MT CC, DU cell) pair</w:t>
      </w:r>
    </w:p>
    <w:p w14:paraId="1C1FB0B4" w14:textId="77777777" w:rsidR="00A66B08" w:rsidRDefault="00A66B08" w:rsidP="00A66B08">
      <w:pPr>
        <w:pStyle w:val="ListParagraph"/>
        <w:numPr>
          <w:ilvl w:val="0"/>
          <w:numId w:val="16"/>
        </w:numPr>
        <w:overflowPunct/>
        <w:autoSpaceDE/>
        <w:autoSpaceDN/>
        <w:adjustRightInd/>
        <w:spacing w:after="160" w:line="259" w:lineRule="auto"/>
        <w:textAlignment w:val="auto"/>
        <w:rPr>
          <w:b/>
          <w:bCs/>
          <w:szCs w:val="18"/>
        </w:rPr>
      </w:pPr>
      <w:r w:rsidRPr="00773EC2">
        <w:rPr>
          <w:b/>
          <w:bCs/>
          <w:szCs w:val="18"/>
        </w:rPr>
        <w:t>The cases where concurrent MT’s and DU’s communications are FDMed or overlap in the frequency domain.</w:t>
      </w:r>
    </w:p>
    <w:p w14:paraId="06CAA350" w14:textId="77777777" w:rsidR="00A66B08" w:rsidRPr="00413AFF" w:rsidRDefault="00A66B08" w:rsidP="00A66B08">
      <w:pPr>
        <w:rPr>
          <w:b/>
          <w:bCs/>
          <w:u w:val="single"/>
        </w:rPr>
      </w:pPr>
      <w:r w:rsidRPr="00413AFF">
        <w:rPr>
          <w:b/>
          <w:bCs/>
          <w:u w:val="single"/>
        </w:rPr>
        <w:t>Proposal 4.7:</w:t>
      </w:r>
    </w:p>
    <w:p w14:paraId="26E7F733" w14:textId="77777777" w:rsidR="00A66B08" w:rsidRPr="00413AFF" w:rsidRDefault="00A66B08" w:rsidP="00A66B08">
      <w:pPr>
        <w:rPr>
          <w:b/>
          <w:bCs/>
          <w:szCs w:val="18"/>
          <w:lang w:eastAsia="ja-JP"/>
        </w:rPr>
      </w:pPr>
      <w:r w:rsidRPr="00413AFF">
        <w:rPr>
          <w:b/>
          <w:bCs/>
          <w:szCs w:val="18"/>
          <w:lang w:eastAsia="ja-JP"/>
        </w:rPr>
        <w:t>The indication of the restricted IAB-DU’s beam(s), provided by the parent-node, is considered as a recommendation, without any mandated behavior at the IAB-DU, at least for the IAB-DU’s HARD resources.</w:t>
      </w:r>
    </w:p>
    <w:p w14:paraId="2C032FC7" w14:textId="77777777" w:rsidR="00A66B08" w:rsidRDefault="00A66B08" w:rsidP="00A66B08">
      <w:pPr>
        <w:pStyle w:val="ListParagraph"/>
        <w:numPr>
          <w:ilvl w:val="0"/>
          <w:numId w:val="25"/>
        </w:numPr>
        <w:overflowPunct/>
        <w:autoSpaceDE/>
        <w:autoSpaceDN/>
        <w:adjustRightInd/>
        <w:spacing w:after="160" w:line="259" w:lineRule="auto"/>
        <w:textAlignment w:val="auto"/>
        <w:rPr>
          <w:b/>
          <w:bCs/>
        </w:rPr>
      </w:pPr>
      <w:r w:rsidRPr="009C53E7">
        <w:rPr>
          <w:b/>
          <w:bCs/>
        </w:rPr>
        <w:t>FFS: expected behaviour of the IAB-DU regarding the indication of restricted beams within its SOFT resources.</w:t>
      </w:r>
    </w:p>
    <w:p w14:paraId="114CAD61" w14:textId="77777777" w:rsidR="00A66B08" w:rsidRPr="0096001D" w:rsidRDefault="00A66B08" w:rsidP="00A66B08">
      <w:pPr>
        <w:rPr>
          <w:b/>
          <w:bCs/>
          <w:u w:val="single"/>
        </w:rPr>
      </w:pPr>
      <w:r w:rsidRPr="0096001D">
        <w:rPr>
          <w:b/>
          <w:bCs/>
          <w:u w:val="single"/>
        </w:rPr>
        <w:t>Proposal 5.1:</w:t>
      </w:r>
    </w:p>
    <w:p w14:paraId="45A40BAC" w14:textId="77777777" w:rsidR="00A66B08" w:rsidRPr="0096001D" w:rsidRDefault="00A66B08" w:rsidP="00A66B08">
      <w:pPr>
        <w:overflowPunct/>
        <w:autoSpaceDE/>
        <w:autoSpaceDN/>
        <w:adjustRightInd/>
        <w:spacing w:after="160" w:line="259" w:lineRule="auto"/>
        <w:textAlignment w:val="auto"/>
        <w:rPr>
          <w:b/>
          <w:bCs/>
        </w:rPr>
      </w:pPr>
      <w:r w:rsidRPr="0096001D">
        <w:rPr>
          <w:b/>
          <w:bCs/>
        </w:rPr>
        <w:t>Support Alt5/6 for TDD confliction resolution, which may have slightly advantage and flexibility over Alt1.</w:t>
      </w:r>
    </w:p>
    <w:p w14:paraId="4160B07B" w14:textId="77777777" w:rsidR="00A66B08" w:rsidRDefault="00A66B08" w:rsidP="00A66B08">
      <w:pPr>
        <w:rPr>
          <w:b/>
          <w:bCs/>
          <w:u w:val="single"/>
          <w:lang w:val="en-US"/>
        </w:rPr>
      </w:pPr>
      <w:r w:rsidRPr="00A266C5">
        <w:rPr>
          <w:b/>
          <w:bCs/>
          <w:u w:val="single"/>
          <w:lang w:val="en-US"/>
        </w:rPr>
        <w:t>Observation 5.1</w:t>
      </w:r>
    </w:p>
    <w:p w14:paraId="355F4736" w14:textId="77777777" w:rsidR="00A66B08" w:rsidRDefault="00A66B08" w:rsidP="00A66B08">
      <w:pPr>
        <w:overflowPunct/>
        <w:autoSpaceDE/>
        <w:autoSpaceDN/>
        <w:adjustRightInd/>
        <w:spacing w:after="160" w:line="259" w:lineRule="auto"/>
        <w:textAlignment w:val="auto"/>
        <w:rPr>
          <w:b/>
          <w:bCs/>
        </w:rPr>
      </w:pPr>
      <w:r w:rsidRPr="00A266C5">
        <w:rPr>
          <w:b/>
          <w:bCs/>
        </w:rPr>
        <w:t>Per-BH link resource config allows an IAB-node to override its Rel-16 DU-cell config for a specified child BH link without impacting to other child nodes, and it is more flexible than Rel-16 approach using per DU-cell config together with knowledge of child’s config</w:t>
      </w:r>
      <w:r>
        <w:rPr>
          <w:b/>
          <w:bCs/>
        </w:rPr>
        <w:t>.</w:t>
      </w:r>
    </w:p>
    <w:p w14:paraId="233BA501" w14:textId="77777777" w:rsidR="00A66B08" w:rsidRDefault="00A66B08" w:rsidP="00A66B08">
      <w:pPr>
        <w:rPr>
          <w:b/>
          <w:bCs/>
          <w:u w:val="single"/>
        </w:rPr>
      </w:pPr>
      <w:r w:rsidRPr="00A266C5">
        <w:rPr>
          <w:b/>
          <w:bCs/>
          <w:u w:val="single"/>
        </w:rPr>
        <w:t>Proposal 5.2</w:t>
      </w:r>
    </w:p>
    <w:p w14:paraId="4235EEA8" w14:textId="77777777" w:rsidR="00A66B08" w:rsidRDefault="00A66B08" w:rsidP="00A66B08">
      <w:pPr>
        <w:rPr>
          <w:b/>
          <w:bCs/>
        </w:rPr>
      </w:pPr>
      <w:r w:rsidRPr="00A266C5">
        <w:rPr>
          <w:b/>
          <w:bCs/>
        </w:rPr>
        <w:t>Support per-BH-link resource configuration</w:t>
      </w:r>
      <w:r>
        <w:rPr>
          <w:b/>
          <w:bCs/>
        </w:rPr>
        <w:t>.</w:t>
      </w:r>
    </w:p>
    <w:p w14:paraId="2A116DF6" w14:textId="77777777" w:rsidR="00A66B08" w:rsidRPr="00101A16" w:rsidRDefault="00A66B08" w:rsidP="00A66B08">
      <w:pPr>
        <w:pStyle w:val="ListParagraph"/>
        <w:numPr>
          <w:ilvl w:val="0"/>
          <w:numId w:val="25"/>
        </w:numPr>
        <w:overflowPunct/>
        <w:autoSpaceDE/>
        <w:autoSpaceDN/>
        <w:adjustRightInd/>
        <w:spacing w:after="160" w:line="259" w:lineRule="auto"/>
        <w:textAlignment w:val="auto"/>
        <w:rPr>
          <w:b/>
          <w:bCs/>
          <w:szCs w:val="18"/>
        </w:rPr>
      </w:pPr>
      <w:r w:rsidRPr="00101A16">
        <w:rPr>
          <w:b/>
          <w:bCs/>
        </w:rPr>
        <w:t>Defer the discussion on whether the configuration shall be provided to the dual-connected child node after agreement of TDD prioritization rules.</w:t>
      </w:r>
    </w:p>
    <w:p w14:paraId="63DF2A25" w14:textId="77777777" w:rsidR="00A66B08" w:rsidRDefault="00A66B08" w:rsidP="00347C4D"/>
    <w:p w14:paraId="1C3A6C8F" w14:textId="77777777" w:rsidR="00347C4D" w:rsidRDefault="00347C4D" w:rsidP="00347C4D">
      <w:pPr>
        <w:pStyle w:val="Heading2"/>
      </w:pPr>
      <w:r>
        <w:lastRenderedPageBreak/>
        <w:t>References</w:t>
      </w:r>
    </w:p>
    <w:p w14:paraId="08637328" w14:textId="77777777" w:rsidR="00347C4D" w:rsidRDefault="00347C4D" w:rsidP="00347C4D">
      <w:pPr>
        <w:rPr>
          <w:sz w:val="18"/>
        </w:rPr>
      </w:pPr>
      <w:r w:rsidRPr="00860A73">
        <w:rPr>
          <w:sz w:val="18"/>
        </w:rPr>
        <w:t>[1]</w:t>
      </w:r>
      <w:r w:rsidRPr="00860A73">
        <w:rPr>
          <w:sz w:val="18"/>
        </w:rPr>
        <w:tab/>
      </w:r>
      <w:r>
        <w:rPr>
          <w:sz w:val="18"/>
        </w:rPr>
        <w:tab/>
      </w:r>
      <w:r w:rsidRPr="00691062">
        <w:rPr>
          <w:sz w:val="18"/>
        </w:rPr>
        <w:t>RP-201293: Revised WID for NR_IAB_enh; TSG RAN Meeting #88, Electronic Meeting, June 29 - July 3, 2020</w:t>
      </w:r>
    </w:p>
    <w:p w14:paraId="6A458AC3" w14:textId="3A1FE1A5" w:rsidR="00347C4D" w:rsidRDefault="00347C4D" w:rsidP="00347C4D">
      <w:pPr>
        <w:rPr>
          <w:sz w:val="18"/>
        </w:rPr>
      </w:pPr>
      <w:r>
        <w:rPr>
          <w:sz w:val="18"/>
        </w:rPr>
        <w:t xml:space="preserve">[2] </w:t>
      </w:r>
      <w:r>
        <w:rPr>
          <w:sz w:val="18"/>
        </w:rPr>
        <w:tab/>
      </w:r>
      <w:r>
        <w:rPr>
          <w:sz w:val="18"/>
        </w:rPr>
        <w:tab/>
        <w:t>Chairman’s notes RAN1</w:t>
      </w:r>
      <w:r w:rsidR="006B0823">
        <w:rPr>
          <w:sz w:val="18"/>
        </w:rPr>
        <w:t>#</w:t>
      </w:r>
      <w:r>
        <w:rPr>
          <w:sz w:val="18"/>
        </w:rPr>
        <w:t>10</w:t>
      </w:r>
      <w:r w:rsidR="00F027FF">
        <w:rPr>
          <w:sz w:val="18"/>
        </w:rPr>
        <w:t>5</w:t>
      </w:r>
      <w:r w:rsidR="006B0823">
        <w:rPr>
          <w:sz w:val="18"/>
        </w:rPr>
        <w:t>-</w:t>
      </w:r>
      <w:r>
        <w:rPr>
          <w:sz w:val="18"/>
        </w:rPr>
        <w:t>e</w:t>
      </w:r>
    </w:p>
    <w:p w14:paraId="1ECC3096" w14:textId="24D0B956" w:rsidR="00A66B08" w:rsidRDefault="00A66B08" w:rsidP="00347C4D">
      <w:pPr>
        <w:rPr>
          <w:sz w:val="18"/>
        </w:rPr>
      </w:pPr>
      <w:r>
        <w:rPr>
          <w:sz w:val="18"/>
        </w:rPr>
        <w:t xml:space="preserve">[3] </w:t>
      </w:r>
      <w:r>
        <w:rPr>
          <w:sz w:val="18"/>
        </w:rPr>
        <w:tab/>
      </w:r>
      <w:r>
        <w:rPr>
          <w:sz w:val="18"/>
        </w:rPr>
        <w:tab/>
        <w:t>Chairman’s notes RAN1</w:t>
      </w:r>
      <w:r w:rsidR="006B0823">
        <w:rPr>
          <w:sz w:val="18"/>
        </w:rPr>
        <w:t>#</w:t>
      </w:r>
      <w:r>
        <w:rPr>
          <w:sz w:val="18"/>
        </w:rPr>
        <w:t>106</w:t>
      </w:r>
      <w:r w:rsidR="006B0823">
        <w:rPr>
          <w:sz w:val="18"/>
        </w:rPr>
        <w:t>-</w:t>
      </w:r>
      <w:r>
        <w:rPr>
          <w:sz w:val="18"/>
        </w:rPr>
        <w:t>e</w:t>
      </w:r>
    </w:p>
    <w:p w14:paraId="7BD9701C" w14:textId="5CEF4343" w:rsidR="00B004C4" w:rsidRDefault="00B004C4" w:rsidP="00E341C4">
      <w:pPr>
        <w:rPr>
          <w:sz w:val="18"/>
        </w:rPr>
      </w:pPr>
    </w:p>
    <w:p w14:paraId="06C26469" w14:textId="015E0909" w:rsidR="00B03B76" w:rsidRDefault="00B03B76" w:rsidP="00C73766">
      <w:pPr>
        <w:rPr>
          <w:sz w:val="18"/>
        </w:rPr>
      </w:pPr>
    </w:p>
    <w:p w14:paraId="5573C7F0" w14:textId="77777777" w:rsidR="00347C4D" w:rsidRDefault="00347C4D" w:rsidP="00347C4D">
      <w:pPr>
        <w:rPr>
          <w:sz w:val="18"/>
        </w:rPr>
      </w:pPr>
    </w:p>
    <w:p w14:paraId="55CA1F8C" w14:textId="77777777" w:rsidR="00347C4D" w:rsidRDefault="00347C4D" w:rsidP="00347C4D">
      <w:pPr>
        <w:rPr>
          <w:sz w:val="18"/>
        </w:rPr>
      </w:pPr>
    </w:p>
    <w:p w14:paraId="46292423" w14:textId="77777777" w:rsidR="00347C4D" w:rsidRDefault="00347C4D" w:rsidP="00347C4D">
      <w:pPr>
        <w:overflowPunct/>
        <w:autoSpaceDE/>
        <w:autoSpaceDN/>
        <w:adjustRightInd/>
        <w:spacing w:after="0"/>
        <w:textAlignment w:val="auto"/>
        <w:rPr>
          <w:rStyle w:val="Heading1Char"/>
        </w:rPr>
      </w:pPr>
    </w:p>
    <w:p w14:paraId="4F47C11C" w14:textId="22DCA1E7" w:rsidR="0001381F" w:rsidRPr="00347C4D" w:rsidRDefault="0001381F" w:rsidP="00347C4D">
      <w:pPr>
        <w:rPr>
          <w:rStyle w:val="Heading1Char"/>
          <w:rFonts w:ascii="Times New Roman" w:hAnsi="Times New Roman"/>
          <w:sz w:val="20"/>
        </w:rPr>
      </w:pPr>
    </w:p>
    <w:sectPr w:rsidR="0001381F" w:rsidRPr="00347C4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CDB74" w14:textId="77777777" w:rsidR="00F84FCE" w:rsidRDefault="00F84FCE">
      <w:pPr>
        <w:spacing w:after="0"/>
      </w:pPr>
      <w:r>
        <w:separator/>
      </w:r>
    </w:p>
  </w:endnote>
  <w:endnote w:type="continuationSeparator" w:id="0">
    <w:p w14:paraId="452D5DD8" w14:textId="77777777" w:rsidR="00F84FCE" w:rsidRDefault="00F84FCE">
      <w:pPr>
        <w:spacing w:after="0"/>
      </w:pPr>
      <w:r>
        <w:continuationSeparator/>
      </w:r>
    </w:p>
  </w:endnote>
  <w:endnote w:type="continuationNotice" w:id="1">
    <w:p w14:paraId="633F584F" w14:textId="77777777" w:rsidR="00F84FCE" w:rsidRDefault="00F84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75C3" w14:textId="77777777" w:rsidR="004D3D3F" w:rsidRDefault="004D3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4902B" w14:textId="77777777" w:rsidR="004D3D3F" w:rsidRDefault="004D3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767D" w14:textId="77777777" w:rsidR="004D3D3F" w:rsidRDefault="004D3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1BD4C" w14:textId="77777777" w:rsidR="00F84FCE" w:rsidRDefault="00F84FCE">
      <w:pPr>
        <w:spacing w:after="0"/>
      </w:pPr>
      <w:r>
        <w:separator/>
      </w:r>
    </w:p>
  </w:footnote>
  <w:footnote w:type="continuationSeparator" w:id="0">
    <w:p w14:paraId="3A172897" w14:textId="77777777" w:rsidR="00F84FCE" w:rsidRDefault="00F84FCE">
      <w:pPr>
        <w:spacing w:after="0"/>
      </w:pPr>
      <w:r>
        <w:continuationSeparator/>
      </w:r>
    </w:p>
  </w:footnote>
  <w:footnote w:type="continuationNotice" w:id="1">
    <w:p w14:paraId="4556756F" w14:textId="77777777" w:rsidR="00F84FCE" w:rsidRDefault="00F84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BD12B" w14:textId="77777777" w:rsidR="004D3D3F" w:rsidRDefault="004D3D3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D3A05" w14:textId="77777777" w:rsidR="004D3D3F" w:rsidRDefault="004D3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8A2F0" w14:textId="77777777" w:rsidR="004D3D3F" w:rsidRDefault="004D3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217"/>
    <w:multiLevelType w:val="hybridMultilevel"/>
    <w:tmpl w:val="EA763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95AFE"/>
    <w:multiLevelType w:val="hybridMultilevel"/>
    <w:tmpl w:val="3D881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BE0BD2"/>
    <w:multiLevelType w:val="hybridMultilevel"/>
    <w:tmpl w:val="C1044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01D76"/>
    <w:multiLevelType w:val="hybridMultilevel"/>
    <w:tmpl w:val="D94E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E060EC"/>
    <w:multiLevelType w:val="hybridMultilevel"/>
    <w:tmpl w:val="6A22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5C524A"/>
    <w:multiLevelType w:val="hybridMultilevel"/>
    <w:tmpl w:val="6970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A94B59"/>
    <w:multiLevelType w:val="hybridMultilevel"/>
    <w:tmpl w:val="BE94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3D2B38"/>
    <w:multiLevelType w:val="hybridMultilevel"/>
    <w:tmpl w:val="9F8686E0"/>
    <w:lvl w:ilvl="0" w:tplc="A62EE2C4">
      <w:start w:val="1"/>
      <w:numFmt w:val="bullet"/>
      <w:lvlText w:val="•"/>
      <w:lvlJc w:val="left"/>
      <w:pPr>
        <w:tabs>
          <w:tab w:val="num" w:pos="720"/>
        </w:tabs>
        <w:ind w:left="720" w:hanging="360"/>
      </w:pPr>
      <w:rPr>
        <w:rFonts w:ascii="Arial" w:hAnsi="Arial" w:hint="default"/>
      </w:rPr>
    </w:lvl>
    <w:lvl w:ilvl="1" w:tplc="2D16145C" w:tentative="1">
      <w:start w:val="1"/>
      <w:numFmt w:val="bullet"/>
      <w:lvlText w:val="•"/>
      <w:lvlJc w:val="left"/>
      <w:pPr>
        <w:tabs>
          <w:tab w:val="num" w:pos="1440"/>
        </w:tabs>
        <w:ind w:left="1440" w:hanging="360"/>
      </w:pPr>
      <w:rPr>
        <w:rFonts w:ascii="Arial" w:hAnsi="Arial" w:hint="default"/>
      </w:rPr>
    </w:lvl>
    <w:lvl w:ilvl="2" w:tplc="50F2EB12" w:tentative="1">
      <w:start w:val="1"/>
      <w:numFmt w:val="bullet"/>
      <w:lvlText w:val="•"/>
      <w:lvlJc w:val="left"/>
      <w:pPr>
        <w:tabs>
          <w:tab w:val="num" w:pos="2160"/>
        </w:tabs>
        <w:ind w:left="2160" w:hanging="360"/>
      </w:pPr>
      <w:rPr>
        <w:rFonts w:ascii="Arial" w:hAnsi="Arial" w:hint="default"/>
      </w:rPr>
    </w:lvl>
    <w:lvl w:ilvl="3" w:tplc="AAF2B5EA" w:tentative="1">
      <w:start w:val="1"/>
      <w:numFmt w:val="bullet"/>
      <w:lvlText w:val="•"/>
      <w:lvlJc w:val="left"/>
      <w:pPr>
        <w:tabs>
          <w:tab w:val="num" w:pos="2880"/>
        </w:tabs>
        <w:ind w:left="2880" w:hanging="360"/>
      </w:pPr>
      <w:rPr>
        <w:rFonts w:ascii="Arial" w:hAnsi="Arial" w:hint="default"/>
      </w:rPr>
    </w:lvl>
    <w:lvl w:ilvl="4" w:tplc="8452C952" w:tentative="1">
      <w:start w:val="1"/>
      <w:numFmt w:val="bullet"/>
      <w:lvlText w:val="•"/>
      <w:lvlJc w:val="left"/>
      <w:pPr>
        <w:tabs>
          <w:tab w:val="num" w:pos="3600"/>
        </w:tabs>
        <w:ind w:left="3600" w:hanging="360"/>
      </w:pPr>
      <w:rPr>
        <w:rFonts w:ascii="Arial" w:hAnsi="Arial" w:hint="default"/>
      </w:rPr>
    </w:lvl>
    <w:lvl w:ilvl="5" w:tplc="08923062" w:tentative="1">
      <w:start w:val="1"/>
      <w:numFmt w:val="bullet"/>
      <w:lvlText w:val="•"/>
      <w:lvlJc w:val="left"/>
      <w:pPr>
        <w:tabs>
          <w:tab w:val="num" w:pos="4320"/>
        </w:tabs>
        <w:ind w:left="4320" w:hanging="360"/>
      </w:pPr>
      <w:rPr>
        <w:rFonts w:ascii="Arial" w:hAnsi="Arial" w:hint="default"/>
      </w:rPr>
    </w:lvl>
    <w:lvl w:ilvl="6" w:tplc="67465988" w:tentative="1">
      <w:start w:val="1"/>
      <w:numFmt w:val="bullet"/>
      <w:lvlText w:val="•"/>
      <w:lvlJc w:val="left"/>
      <w:pPr>
        <w:tabs>
          <w:tab w:val="num" w:pos="5040"/>
        </w:tabs>
        <w:ind w:left="5040" w:hanging="360"/>
      </w:pPr>
      <w:rPr>
        <w:rFonts w:ascii="Arial" w:hAnsi="Arial" w:hint="default"/>
      </w:rPr>
    </w:lvl>
    <w:lvl w:ilvl="7" w:tplc="1E261CE2" w:tentative="1">
      <w:start w:val="1"/>
      <w:numFmt w:val="bullet"/>
      <w:lvlText w:val="•"/>
      <w:lvlJc w:val="left"/>
      <w:pPr>
        <w:tabs>
          <w:tab w:val="num" w:pos="5760"/>
        </w:tabs>
        <w:ind w:left="5760" w:hanging="360"/>
      </w:pPr>
      <w:rPr>
        <w:rFonts w:ascii="Arial" w:hAnsi="Arial" w:hint="default"/>
      </w:rPr>
    </w:lvl>
    <w:lvl w:ilvl="8" w:tplc="78BC5A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3D3E3B"/>
    <w:multiLevelType w:val="hybridMultilevel"/>
    <w:tmpl w:val="4C46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3F42BC"/>
    <w:multiLevelType w:val="hybridMultilevel"/>
    <w:tmpl w:val="FFE6B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D686450"/>
    <w:multiLevelType w:val="hybridMultilevel"/>
    <w:tmpl w:val="AC247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3123C"/>
    <w:multiLevelType w:val="hybridMultilevel"/>
    <w:tmpl w:val="854E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464E1"/>
    <w:multiLevelType w:val="hybridMultilevel"/>
    <w:tmpl w:val="8D52EA4C"/>
    <w:lvl w:ilvl="0" w:tplc="F086D1E4">
      <w:start w:val="1"/>
      <w:numFmt w:val="bullet"/>
      <w:lvlText w:val="•"/>
      <w:lvlJc w:val="left"/>
      <w:pPr>
        <w:tabs>
          <w:tab w:val="num" w:pos="720"/>
        </w:tabs>
        <w:ind w:left="720" w:hanging="360"/>
      </w:pPr>
      <w:rPr>
        <w:rFonts w:ascii="Arial" w:hAnsi="Arial" w:hint="default"/>
      </w:rPr>
    </w:lvl>
    <w:lvl w:ilvl="1" w:tplc="9A845334">
      <w:numFmt w:val="bullet"/>
      <w:lvlText w:val="◦"/>
      <w:lvlJc w:val="left"/>
      <w:pPr>
        <w:tabs>
          <w:tab w:val="num" w:pos="1440"/>
        </w:tabs>
        <w:ind w:left="1440" w:hanging="360"/>
      </w:pPr>
      <w:rPr>
        <w:rFonts w:ascii="Microsoft Sans Serif" w:hAnsi="Microsoft Sans Serif" w:hint="default"/>
      </w:rPr>
    </w:lvl>
    <w:lvl w:ilvl="2" w:tplc="84124122" w:tentative="1">
      <w:start w:val="1"/>
      <w:numFmt w:val="bullet"/>
      <w:lvlText w:val="•"/>
      <w:lvlJc w:val="left"/>
      <w:pPr>
        <w:tabs>
          <w:tab w:val="num" w:pos="2160"/>
        </w:tabs>
        <w:ind w:left="2160" w:hanging="360"/>
      </w:pPr>
      <w:rPr>
        <w:rFonts w:ascii="Arial" w:hAnsi="Arial" w:hint="default"/>
      </w:rPr>
    </w:lvl>
    <w:lvl w:ilvl="3" w:tplc="0046F042" w:tentative="1">
      <w:start w:val="1"/>
      <w:numFmt w:val="bullet"/>
      <w:lvlText w:val="•"/>
      <w:lvlJc w:val="left"/>
      <w:pPr>
        <w:tabs>
          <w:tab w:val="num" w:pos="2880"/>
        </w:tabs>
        <w:ind w:left="2880" w:hanging="360"/>
      </w:pPr>
      <w:rPr>
        <w:rFonts w:ascii="Arial" w:hAnsi="Arial" w:hint="default"/>
      </w:rPr>
    </w:lvl>
    <w:lvl w:ilvl="4" w:tplc="CDF6F4C0" w:tentative="1">
      <w:start w:val="1"/>
      <w:numFmt w:val="bullet"/>
      <w:lvlText w:val="•"/>
      <w:lvlJc w:val="left"/>
      <w:pPr>
        <w:tabs>
          <w:tab w:val="num" w:pos="3600"/>
        </w:tabs>
        <w:ind w:left="3600" w:hanging="360"/>
      </w:pPr>
      <w:rPr>
        <w:rFonts w:ascii="Arial" w:hAnsi="Arial" w:hint="default"/>
      </w:rPr>
    </w:lvl>
    <w:lvl w:ilvl="5" w:tplc="29AC0258" w:tentative="1">
      <w:start w:val="1"/>
      <w:numFmt w:val="bullet"/>
      <w:lvlText w:val="•"/>
      <w:lvlJc w:val="left"/>
      <w:pPr>
        <w:tabs>
          <w:tab w:val="num" w:pos="4320"/>
        </w:tabs>
        <w:ind w:left="4320" w:hanging="360"/>
      </w:pPr>
      <w:rPr>
        <w:rFonts w:ascii="Arial" w:hAnsi="Arial" w:hint="default"/>
      </w:rPr>
    </w:lvl>
    <w:lvl w:ilvl="6" w:tplc="57283176" w:tentative="1">
      <w:start w:val="1"/>
      <w:numFmt w:val="bullet"/>
      <w:lvlText w:val="•"/>
      <w:lvlJc w:val="left"/>
      <w:pPr>
        <w:tabs>
          <w:tab w:val="num" w:pos="5040"/>
        </w:tabs>
        <w:ind w:left="5040" w:hanging="360"/>
      </w:pPr>
      <w:rPr>
        <w:rFonts w:ascii="Arial" w:hAnsi="Arial" w:hint="default"/>
      </w:rPr>
    </w:lvl>
    <w:lvl w:ilvl="7" w:tplc="0212D7C2" w:tentative="1">
      <w:start w:val="1"/>
      <w:numFmt w:val="bullet"/>
      <w:lvlText w:val="•"/>
      <w:lvlJc w:val="left"/>
      <w:pPr>
        <w:tabs>
          <w:tab w:val="num" w:pos="5760"/>
        </w:tabs>
        <w:ind w:left="5760" w:hanging="360"/>
      </w:pPr>
      <w:rPr>
        <w:rFonts w:ascii="Arial" w:hAnsi="Arial" w:hint="default"/>
      </w:rPr>
    </w:lvl>
    <w:lvl w:ilvl="8" w:tplc="D4C2C6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F48FB"/>
    <w:multiLevelType w:val="hybridMultilevel"/>
    <w:tmpl w:val="ECA89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8A6DC8"/>
    <w:multiLevelType w:val="hybridMultilevel"/>
    <w:tmpl w:val="DC8810D4"/>
    <w:lvl w:ilvl="0" w:tplc="04090001">
      <w:start w:val="1"/>
      <w:numFmt w:val="bullet"/>
      <w:lvlText w:val=""/>
      <w:lvlJc w:val="left"/>
      <w:pPr>
        <w:ind w:left="880" w:hanging="360"/>
      </w:pPr>
      <w:rPr>
        <w:rFonts w:ascii="Symbol" w:hAnsi="Symbol" w:hint="default"/>
      </w:rPr>
    </w:lvl>
    <w:lvl w:ilvl="1" w:tplc="04090003">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0700ED"/>
    <w:multiLevelType w:val="hybridMultilevel"/>
    <w:tmpl w:val="4E5C9592"/>
    <w:lvl w:ilvl="0" w:tplc="86D2C05C">
      <w:start w:val="1"/>
      <w:numFmt w:val="bullet"/>
      <w:lvlText w:val="•"/>
      <w:lvlJc w:val="left"/>
      <w:pPr>
        <w:tabs>
          <w:tab w:val="num" w:pos="720"/>
        </w:tabs>
        <w:ind w:left="720" w:hanging="360"/>
      </w:pPr>
      <w:rPr>
        <w:rFonts w:ascii="Arial" w:hAnsi="Arial" w:hint="default"/>
      </w:rPr>
    </w:lvl>
    <w:lvl w:ilvl="1" w:tplc="2D0EDCF2">
      <w:numFmt w:val="bullet"/>
      <w:lvlText w:val="◦"/>
      <w:lvlJc w:val="left"/>
      <w:pPr>
        <w:tabs>
          <w:tab w:val="num" w:pos="1440"/>
        </w:tabs>
        <w:ind w:left="1440" w:hanging="360"/>
      </w:pPr>
      <w:rPr>
        <w:rFonts w:ascii="Microsoft Sans Serif" w:hAnsi="Microsoft Sans Serif" w:hint="default"/>
      </w:rPr>
    </w:lvl>
    <w:lvl w:ilvl="2" w:tplc="D6E82F70" w:tentative="1">
      <w:start w:val="1"/>
      <w:numFmt w:val="bullet"/>
      <w:lvlText w:val="•"/>
      <w:lvlJc w:val="left"/>
      <w:pPr>
        <w:tabs>
          <w:tab w:val="num" w:pos="2160"/>
        </w:tabs>
        <w:ind w:left="2160" w:hanging="360"/>
      </w:pPr>
      <w:rPr>
        <w:rFonts w:ascii="Arial" w:hAnsi="Arial" w:hint="default"/>
      </w:rPr>
    </w:lvl>
    <w:lvl w:ilvl="3" w:tplc="3C2E30FC" w:tentative="1">
      <w:start w:val="1"/>
      <w:numFmt w:val="bullet"/>
      <w:lvlText w:val="•"/>
      <w:lvlJc w:val="left"/>
      <w:pPr>
        <w:tabs>
          <w:tab w:val="num" w:pos="2880"/>
        </w:tabs>
        <w:ind w:left="2880" w:hanging="360"/>
      </w:pPr>
      <w:rPr>
        <w:rFonts w:ascii="Arial" w:hAnsi="Arial" w:hint="default"/>
      </w:rPr>
    </w:lvl>
    <w:lvl w:ilvl="4" w:tplc="B20AC060" w:tentative="1">
      <w:start w:val="1"/>
      <w:numFmt w:val="bullet"/>
      <w:lvlText w:val="•"/>
      <w:lvlJc w:val="left"/>
      <w:pPr>
        <w:tabs>
          <w:tab w:val="num" w:pos="3600"/>
        </w:tabs>
        <w:ind w:left="3600" w:hanging="360"/>
      </w:pPr>
      <w:rPr>
        <w:rFonts w:ascii="Arial" w:hAnsi="Arial" w:hint="default"/>
      </w:rPr>
    </w:lvl>
    <w:lvl w:ilvl="5" w:tplc="C1C8B0E0" w:tentative="1">
      <w:start w:val="1"/>
      <w:numFmt w:val="bullet"/>
      <w:lvlText w:val="•"/>
      <w:lvlJc w:val="left"/>
      <w:pPr>
        <w:tabs>
          <w:tab w:val="num" w:pos="4320"/>
        </w:tabs>
        <w:ind w:left="4320" w:hanging="360"/>
      </w:pPr>
      <w:rPr>
        <w:rFonts w:ascii="Arial" w:hAnsi="Arial" w:hint="default"/>
      </w:rPr>
    </w:lvl>
    <w:lvl w:ilvl="6" w:tplc="F9840840" w:tentative="1">
      <w:start w:val="1"/>
      <w:numFmt w:val="bullet"/>
      <w:lvlText w:val="•"/>
      <w:lvlJc w:val="left"/>
      <w:pPr>
        <w:tabs>
          <w:tab w:val="num" w:pos="5040"/>
        </w:tabs>
        <w:ind w:left="5040" w:hanging="360"/>
      </w:pPr>
      <w:rPr>
        <w:rFonts w:ascii="Arial" w:hAnsi="Arial" w:hint="default"/>
      </w:rPr>
    </w:lvl>
    <w:lvl w:ilvl="7" w:tplc="FBC8E97C" w:tentative="1">
      <w:start w:val="1"/>
      <w:numFmt w:val="bullet"/>
      <w:lvlText w:val="•"/>
      <w:lvlJc w:val="left"/>
      <w:pPr>
        <w:tabs>
          <w:tab w:val="num" w:pos="5760"/>
        </w:tabs>
        <w:ind w:left="5760" w:hanging="360"/>
      </w:pPr>
      <w:rPr>
        <w:rFonts w:ascii="Arial" w:hAnsi="Arial" w:hint="default"/>
      </w:rPr>
    </w:lvl>
    <w:lvl w:ilvl="8" w:tplc="EC90D4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6"/>
  </w:num>
  <w:num w:numId="4">
    <w:abstractNumId w:val="6"/>
  </w:num>
  <w:num w:numId="5">
    <w:abstractNumId w:val="22"/>
  </w:num>
  <w:num w:numId="6">
    <w:abstractNumId w:val="0"/>
  </w:num>
  <w:num w:numId="7">
    <w:abstractNumId w:val="3"/>
  </w:num>
  <w:num w:numId="8">
    <w:abstractNumId w:val="24"/>
  </w:num>
  <w:num w:numId="9">
    <w:abstractNumId w:val="25"/>
  </w:num>
  <w:num w:numId="10">
    <w:abstractNumId w:val="20"/>
  </w:num>
  <w:num w:numId="11">
    <w:abstractNumId w:val="1"/>
  </w:num>
  <w:num w:numId="12">
    <w:abstractNumId w:val="7"/>
  </w:num>
  <w:num w:numId="13">
    <w:abstractNumId w:val="19"/>
  </w:num>
  <w:num w:numId="14">
    <w:abstractNumId w:val="8"/>
  </w:num>
  <w:num w:numId="15">
    <w:abstractNumId w:val="15"/>
  </w:num>
  <w:num w:numId="16">
    <w:abstractNumId w:val="23"/>
  </w:num>
  <w:num w:numId="17">
    <w:abstractNumId w:val="12"/>
  </w:num>
  <w:num w:numId="18">
    <w:abstractNumId w:val="13"/>
  </w:num>
  <w:num w:numId="19">
    <w:abstractNumId w:val="18"/>
  </w:num>
  <w:num w:numId="20">
    <w:abstractNumId w:val="2"/>
  </w:num>
  <w:num w:numId="21">
    <w:abstractNumId w:val="10"/>
  </w:num>
  <w:num w:numId="22">
    <w:abstractNumId w:val="11"/>
  </w:num>
  <w:num w:numId="23">
    <w:abstractNumId w:val="5"/>
  </w:num>
  <w:num w:numId="24">
    <w:abstractNumId w:val="17"/>
  </w:num>
  <w:num w:numId="25">
    <w:abstractNumId w:val="4"/>
  </w:num>
  <w:num w:numId="2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2ABD"/>
    <w:rsid w:val="000046AB"/>
    <w:rsid w:val="00004EE9"/>
    <w:rsid w:val="00005AD2"/>
    <w:rsid w:val="0000617E"/>
    <w:rsid w:val="00006BC4"/>
    <w:rsid w:val="00007B6D"/>
    <w:rsid w:val="000129F4"/>
    <w:rsid w:val="00012DA7"/>
    <w:rsid w:val="0001381F"/>
    <w:rsid w:val="000139D6"/>
    <w:rsid w:val="00013C33"/>
    <w:rsid w:val="00016885"/>
    <w:rsid w:val="00017D75"/>
    <w:rsid w:val="00020E28"/>
    <w:rsid w:val="0002119A"/>
    <w:rsid w:val="000212B9"/>
    <w:rsid w:val="00021A7B"/>
    <w:rsid w:val="000237DE"/>
    <w:rsid w:val="0002473A"/>
    <w:rsid w:val="00026C88"/>
    <w:rsid w:val="00027C76"/>
    <w:rsid w:val="0003118D"/>
    <w:rsid w:val="0003137F"/>
    <w:rsid w:val="0003426D"/>
    <w:rsid w:val="00034EFC"/>
    <w:rsid w:val="00035156"/>
    <w:rsid w:val="000408D1"/>
    <w:rsid w:val="00042C3C"/>
    <w:rsid w:val="0004364B"/>
    <w:rsid w:val="00043905"/>
    <w:rsid w:val="0004508D"/>
    <w:rsid w:val="00047275"/>
    <w:rsid w:val="00047D7B"/>
    <w:rsid w:val="00050DEB"/>
    <w:rsid w:val="000518F6"/>
    <w:rsid w:val="00051CDE"/>
    <w:rsid w:val="000520B3"/>
    <w:rsid w:val="00053746"/>
    <w:rsid w:val="00054639"/>
    <w:rsid w:val="000554ED"/>
    <w:rsid w:val="000557B8"/>
    <w:rsid w:val="00055FA1"/>
    <w:rsid w:val="00056307"/>
    <w:rsid w:val="000601C8"/>
    <w:rsid w:val="000603C4"/>
    <w:rsid w:val="00060C5F"/>
    <w:rsid w:val="00060DAA"/>
    <w:rsid w:val="000612CC"/>
    <w:rsid w:val="000621C1"/>
    <w:rsid w:val="00067AFE"/>
    <w:rsid w:val="000729EC"/>
    <w:rsid w:val="00073D16"/>
    <w:rsid w:val="00074FD0"/>
    <w:rsid w:val="000752E0"/>
    <w:rsid w:val="000756DA"/>
    <w:rsid w:val="00076EF0"/>
    <w:rsid w:val="00076F6F"/>
    <w:rsid w:val="00083221"/>
    <w:rsid w:val="00084114"/>
    <w:rsid w:val="00085AA8"/>
    <w:rsid w:val="00086644"/>
    <w:rsid w:val="00087C72"/>
    <w:rsid w:val="00090256"/>
    <w:rsid w:val="00090287"/>
    <w:rsid w:val="000952DC"/>
    <w:rsid w:val="00095553"/>
    <w:rsid w:val="000A035A"/>
    <w:rsid w:val="000A234A"/>
    <w:rsid w:val="000A4826"/>
    <w:rsid w:val="000A4E17"/>
    <w:rsid w:val="000A4E2E"/>
    <w:rsid w:val="000A5B05"/>
    <w:rsid w:val="000A64A2"/>
    <w:rsid w:val="000A7CCE"/>
    <w:rsid w:val="000B04C1"/>
    <w:rsid w:val="000B0B51"/>
    <w:rsid w:val="000B14D9"/>
    <w:rsid w:val="000B2F96"/>
    <w:rsid w:val="000B3C88"/>
    <w:rsid w:val="000B4998"/>
    <w:rsid w:val="000B5BE2"/>
    <w:rsid w:val="000C09C5"/>
    <w:rsid w:val="000C1B14"/>
    <w:rsid w:val="000C2669"/>
    <w:rsid w:val="000C37EF"/>
    <w:rsid w:val="000C3ACE"/>
    <w:rsid w:val="000C45B4"/>
    <w:rsid w:val="000C5BCA"/>
    <w:rsid w:val="000C7B38"/>
    <w:rsid w:val="000C7D64"/>
    <w:rsid w:val="000D1557"/>
    <w:rsid w:val="000D1CFA"/>
    <w:rsid w:val="000D3889"/>
    <w:rsid w:val="000D3EC1"/>
    <w:rsid w:val="000E0706"/>
    <w:rsid w:val="000E0A6C"/>
    <w:rsid w:val="000E0BEE"/>
    <w:rsid w:val="000E6ADF"/>
    <w:rsid w:val="000F069B"/>
    <w:rsid w:val="000F0E73"/>
    <w:rsid w:val="000F3F9B"/>
    <w:rsid w:val="000F4946"/>
    <w:rsid w:val="000F50D7"/>
    <w:rsid w:val="000F65EE"/>
    <w:rsid w:val="000F6FAE"/>
    <w:rsid w:val="0010336A"/>
    <w:rsid w:val="00104164"/>
    <w:rsid w:val="001048D2"/>
    <w:rsid w:val="001050AE"/>
    <w:rsid w:val="00105FAA"/>
    <w:rsid w:val="00106C9F"/>
    <w:rsid w:val="001105B0"/>
    <w:rsid w:val="00111773"/>
    <w:rsid w:val="00111FE4"/>
    <w:rsid w:val="0011202B"/>
    <w:rsid w:val="001123FC"/>
    <w:rsid w:val="001129AB"/>
    <w:rsid w:val="0011358D"/>
    <w:rsid w:val="001136A2"/>
    <w:rsid w:val="001140F9"/>
    <w:rsid w:val="0011522C"/>
    <w:rsid w:val="00115503"/>
    <w:rsid w:val="001155DC"/>
    <w:rsid w:val="00115CE1"/>
    <w:rsid w:val="00116B3D"/>
    <w:rsid w:val="00120513"/>
    <w:rsid w:val="00121468"/>
    <w:rsid w:val="00121DE9"/>
    <w:rsid w:val="00121DF3"/>
    <w:rsid w:val="00122A1C"/>
    <w:rsid w:val="00123103"/>
    <w:rsid w:val="00123B11"/>
    <w:rsid w:val="00124633"/>
    <w:rsid w:val="00125760"/>
    <w:rsid w:val="0012597C"/>
    <w:rsid w:val="001304EC"/>
    <w:rsid w:val="00131C46"/>
    <w:rsid w:val="00132FEA"/>
    <w:rsid w:val="001336FB"/>
    <w:rsid w:val="00137B9B"/>
    <w:rsid w:val="0014038B"/>
    <w:rsid w:val="00141159"/>
    <w:rsid w:val="00141606"/>
    <w:rsid w:val="00142293"/>
    <w:rsid w:val="001444AD"/>
    <w:rsid w:val="00144CFC"/>
    <w:rsid w:val="00146512"/>
    <w:rsid w:val="001479C1"/>
    <w:rsid w:val="00147A1D"/>
    <w:rsid w:val="00150B0E"/>
    <w:rsid w:val="00151565"/>
    <w:rsid w:val="0015183A"/>
    <w:rsid w:val="00151F73"/>
    <w:rsid w:val="00152200"/>
    <w:rsid w:val="00152E80"/>
    <w:rsid w:val="00152F18"/>
    <w:rsid w:val="0015309F"/>
    <w:rsid w:val="00153E5D"/>
    <w:rsid w:val="001554C5"/>
    <w:rsid w:val="00155515"/>
    <w:rsid w:val="00155791"/>
    <w:rsid w:val="00157A51"/>
    <w:rsid w:val="00157C13"/>
    <w:rsid w:val="00157E60"/>
    <w:rsid w:val="001608C6"/>
    <w:rsid w:val="00161A74"/>
    <w:rsid w:val="001632E3"/>
    <w:rsid w:val="0016590E"/>
    <w:rsid w:val="001669D3"/>
    <w:rsid w:val="00167815"/>
    <w:rsid w:val="00167E54"/>
    <w:rsid w:val="00171520"/>
    <w:rsid w:val="001715D9"/>
    <w:rsid w:val="00171D6C"/>
    <w:rsid w:val="001723E2"/>
    <w:rsid w:val="00172784"/>
    <w:rsid w:val="0017485B"/>
    <w:rsid w:val="00176B1D"/>
    <w:rsid w:val="00180C7A"/>
    <w:rsid w:val="001817E0"/>
    <w:rsid w:val="00182166"/>
    <w:rsid w:val="00182191"/>
    <w:rsid w:val="00182E4C"/>
    <w:rsid w:val="00183606"/>
    <w:rsid w:val="00184F0F"/>
    <w:rsid w:val="0018524C"/>
    <w:rsid w:val="00186224"/>
    <w:rsid w:val="00186DD8"/>
    <w:rsid w:val="001913D6"/>
    <w:rsid w:val="001913DF"/>
    <w:rsid w:val="00192847"/>
    <w:rsid w:val="0019289D"/>
    <w:rsid w:val="00192C21"/>
    <w:rsid w:val="00193028"/>
    <w:rsid w:val="0019306A"/>
    <w:rsid w:val="00193937"/>
    <w:rsid w:val="001A0374"/>
    <w:rsid w:val="001A0464"/>
    <w:rsid w:val="001A196B"/>
    <w:rsid w:val="001A2B1E"/>
    <w:rsid w:val="001A4207"/>
    <w:rsid w:val="001A4617"/>
    <w:rsid w:val="001A5A6D"/>
    <w:rsid w:val="001A5C73"/>
    <w:rsid w:val="001B0AEC"/>
    <w:rsid w:val="001B243F"/>
    <w:rsid w:val="001B29CC"/>
    <w:rsid w:val="001B4047"/>
    <w:rsid w:val="001B5DC8"/>
    <w:rsid w:val="001B6366"/>
    <w:rsid w:val="001B6FF2"/>
    <w:rsid w:val="001C1966"/>
    <w:rsid w:val="001C2279"/>
    <w:rsid w:val="001C2EA0"/>
    <w:rsid w:val="001C3AED"/>
    <w:rsid w:val="001C4CA0"/>
    <w:rsid w:val="001C4F83"/>
    <w:rsid w:val="001C589D"/>
    <w:rsid w:val="001C6DC1"/>
    <w:rsid w:val="001D107E"/>
    <w:rsid w:val="001D12FD"/>
    <w:rsid w:val="001D324D"/>
    <w:rsid w:val="001D3DF9"/>
    <w:rsid w:val="001D54AB"/>
    <w:rsid w:val="001D5617"/>
    <w:rsid w:val="001D7C95"/>
    <w:rsid w:val="001D7FE8"/>
    <w:rsid w:val="001E024A"/>
    <w:rsid w:val="001E0DA8"/>
    <w:rsid w:val="001E1615"/>
    <w:rsid w:val="001E283D"/>
    <w:rsid w:val="001E299D"/>
    <w:rsid w:val="001E3173"/>
    <w:rsid w:val="001E3DB2"/>
    <w:rsid w:val="001E4714"/>
    <w:rsid w:val="001E6B5B"/>
    <w:rsid w:val="001E7ACC"/>
    <w:rsid w:val="001F1FCB"/>
    <w:rsid w:val="001F273C"/>
    <w:rsid w:val="001F2FD7"/>
    <w:rsid w:val="001F4A43"/>
    <w:rsid w:val="001F6F50"/>
    <w:rsid w:val="00201C93"/>
    <w:rsid w:val="00202660"/>
    <w:rsid w:val="00202FAF"/>
    <w:rsid w:val="0020418F"/>
    <w:rsid w:val="00207564"/>
    <w:rsid w:val="00212D93"/>
    <w:rsid w:val="002140B5"/>
    <w:rsid w:val="002145BA"/>
    <w:rsid w:val="00214BAD"/>
    <w:rsid w:val="00215133"/>
    <w:rsid w:val="0021612B"/>
    <w:rsid w:val="00217274"/>
    <w:rsid w:val="002175AC"/>
    <w:rsid w:val="002176DD"/>
    <w:rsid w:val="002177A9"/>
    <w:rsid w:val="002208A7"/>
    <w:rsid w:val="00221B24"/>
    <w:rsid w:val="00221B43"/>
    <w:rsid w:val="00222CF1"/>
    <w:rsid w:val="00222F1E"/>
    <w:rsid w:val="002246B3"/>
    <w:rsid w:val="00225710"/>
    <w:rsid w:val="002257EE"/>
    <w:rsid w:val="002262D4"/>
    <w:rsid w:val="00226E45"/>
    <w:rsid w:val="00227A9E"/>
    <w:rsid w:val="00227C23"/>
    <w:rsid w:val="00231E61"/>
    <w:rsid w:val="002349E6"/>
    <w:rsid w:val="002351A0"/>
    <w:rsid w:val="00235297"/>
    <w:rsid w:val="00235AE9"/>
    <w:rsid w:val="0023721A"/>
    <w:rsid w:val="00237500"/>
    <w:rsid w:val="00237B7F"/>
    <w:rsid w:val="00237C19"/>
    <w:rsid w:val="00240EFB"/>
    <w:rsid w:val="00242C7E"/>
    <w:rsid w:val="0024447B"/>
    <w:rsid w:val="0024577D"/>
    <w:rsid w:val="00245B4C"/>
    <w:rsid w:val="0025103E"/>
    <w:rsid w:val="00253CE6"/>
    <w:rsid w:val="00253E4B"/>
    <w:rsid w:val="00254B0B"/>
    <w:rsid w:val="00255134"/>
    <w:rsid w:val="00256111"/>
    <w:rsid w:val="002564FD"/>
    <w:rsid w:val="0025765C"/>
    <w:rsid w:val="00257828"/>
    <w:rsid w:val="00257ED9"/>
    <w:rsid w:val="00257F92"/>
    <w:rsid w:val="00260574"/>
    <w:rsid w:val="002625B5"/>
    <w:rsid w:val="00262DAE"/>
    <w:rsid w:val="00263C54"/>
    <w:rsid w:val="00263C69"/>
    <w:rsid w:val="00264770"/>
    <w:rsid w:val="00265861"/>
    <w:rsid w:val="002661A0"/>
    <w:rsid w:val="002662D4"/>
    <w:rsid w:val="002665D7"/>
    <w:rsid w:val="00267B52"/>
    <w:rsid w:val="002706B5"/>
    <w:rsid w:val="00270B70"/>
    <w:rsid w:val="00270D09"/>
    <w:rsid w:val="002717A2"/>
    <w:rsid w:val="00272F5D"/>
    <w:rsid w:val="00272FF1"/>
    <w:rsid w:val="0027339C"/>
    <w:rsid w:val="00274E14"/>
    <w:rsid w:val="0027522B"/>
    <w:rsid w:val="00275CA4"/>
    <w:rsid w:val="0027618D"/>
    <w:rsid w:val="0027710A"/>
    <w:rsid w:val="002776CA"/>
    <w:rsid w:val="00277FC9"/>
    <w:rsid w:val="00280B78"/>
    <w:rsid w:val="00280CCA"/>
    <w:rsid w:val="00281622"/>
    <w:rsid w:val="00281939"/>
    <w:rsid w:val="00282AC1"/>
    <w:rsid w:val="002832C2"/>
    <w:rsid w:val="002837C6"/>
    <w:rsid w:val="002862A4"/>
    <w:rsid w:val="0028666A"/>
    <w:rsid w:val="002866DF"/>
    <w:rsid w:val="00286792"/>
    <w:rsid w:val="00287CF5"/>
    <w:rsid w:val="00290057"/>
    <w:rsid w:val="0029033E"/>
    <w:rsid w:val="00290698"/>
    <w:rsid w:val="00292489"/>
    <w:rsid w:val="0029278C"/>
    <w:rsid w:val="0029339C"/>
    <w:rsid w:val="002942F3"/>
    <w:rsid w:val="002975FD"/>
    <w:rsid w:val="002A03A3"/>
    <w:rsid w:val="002A310C"/>
    <w:rsid w:val="002A3133"/>
    <w:rsid w:val="002A4C12"/>
    <w:rsid w:val="002A4F5D"/>
    <w:rsid w:val="002A58A3"/>
    <w:rsid w:val="002A5CA7"/>
    <w:rsid w:val="002A6844"/>
    <w:rsid w:val="002A689D"/>
    <w:rsid w:val="002A6B68"/>
    <w:rsid w:val="002A6F13"/>
    <w:rsid w:val="002A7A65"/>
    <w:rsid w:val="002A7CF5"/>
    <w:rsid w:val="002A7F5C"/>
    <w:rsid w:val="002B0AB4"/>
    <w:rsid w:val="002B14F2"/>
    <w:rsid w:val="002B1728"/>
    <w:rsid w:val="002B1ED7"/>
    <w:rsid w:val="002B2159"/>
    <w:rsid w:val="002B4616"/>
    <w:rsid w:val="002B4683"/>
    <w:rsid w:val="002B4694"/>
    <w:rsid w:val="002B4EC6"/>
    <w:rsid w:val="002B61EE"/>
    <w:rsid w:val="002B6BDD"/>
    <w:rsid w:val="002C00CC"/>
    <w:rsid w:val="002C53D8"/>
    <w:rsid w:val="002C604B"/>
    <w:rsid w:val="002C70B3"/>
    <w:rsid w:val="002D0B2F"/>
    <w:rsid w:val="002D1594"/>
    <w:rsid w:val="002D2AAE"/>
    <w:rsid w:val="002D421E"/>
    <w:rsid w:val="002D444E"/>
    <w:rsid w:val="002D44EA"/>
    <w:rsid w:val="002D5304"/>
    <w:rsid w:val="002D53D1"/>
    <w:rsid w:val="002D7317"/>
    <w:rsid w:val="002E0183"/>
    <w:rsid w:val="002E045A"/>
    <w:rsid w:val="002E07C2"/>
    <w:rsid w:val="002E1724"/>
    <w:rsid w:val="002E2670"/>
    <w:rsid w:val="002E516B"/>
    <w:rsid w:val="002E52A3"/>
    <w:rsid w:val="002E59C4"/>
    <w:rsid w:val="002E7A48"/>
    <w:rsid w:val="002E7E1E"/>
    <w:rsid w:val="002F0A18"/>
    <w:rsid w:val="002F1470"/>
    <w:rsid w:val="002F1808"/>
    <w:rsid w:val="002F2515"/>
    <w:rsid w:val="002F2F8E"/>
    <w:rsid w:val="002F3C0F"/>
    <w:rsid w:val="002F3F68"/>
    <w:rsid w:val="002F5E7C"/>
    <w:rsid w:val="002F6035"/>
    <w:rsid w:val="002F6D32"/>
    <w:rsid w:val="002F70CC"/>
    <w:rsid w:val="002F7205"/>
    <w:rsid w:val="0030046C"/>
    <w:rsid w:val="00301FAF"/>
    <w:rsid w:val="00304E3A"/>
    <w:rsid w:val="00304E51"/>
    <w:rsid w:val="003063B8"/>
    <w:rsid w:val="0030642F"/>
    <w:rsid w:val="00310FD8"/>
    <w:rsid w:val="00311061"/>
    <w:rsid w:val="003120A1"/>
    <w:rsid w:val="003126A2"/>
    <w:rsid w:val="00313B7E"/>
    <w:rsid w:val="00314A05"/>
    <w:rsid w:val="00316BFD"/>
    <w:rsid w:val="00317AF1"/>
    <w:rsid w:val="00317E85"/>
    <w:rsid w:val="00320975"/>
    <w:rsid w:val="00320A5A"/>
    <w:rsid w:val="00322596"/>
    <w:rsid w:val="0032264A"/>
    <w:rsid w:val="0032294A"/>
    <w:rsid w:val="00323E31"/>
    <w:rsid w:val="00324A39"/>
    <w:rsid w:val="00325016"/>
    <w:rsid w:val="003252D4"/>
    <w:rsid w:val="00325805"/>
    <w:rsid w:val="00326B07"/>
    <w:rsid w:val="0033121F"/>
    <w:rsid w:val="00331962"/>
    <w:rsid w:val="00331D09"/>
    <w:rsid w:val="0033336D"/>
    <w:rsid w:val="00340415"/>
    <w:rsid w:val="00340D1E"/>
    <w:rsid w:val="003424FC"/>
    <w:rsid w:val="00343CE3"/>
    <w:rsid w:val="003440D3"/>
    <w:rsid w:val="00344135"/>
    <w:rsid w:val="00344E22"/>
    <w:rsid w:val="00347941"/>
    <w:rsid w:val="00347C4D"/>
    <w:rsid w:val="003506B8"/>
    <w:rsid w:val="003510A4"/>
    <w:rsid w:val="00351C6C"/>
    <w:rsid w:val="00353195"/>
    <w:rsid w:val="00354ED5"/>
    <w:rsid w:val="0035638E"/>
    <w:rsid w:val="003568AC"/>
    <w:rsid w:val="00356EEA"/>
    <w:rsid w:val="00357178"/>
    <w:rsid w:val="00360ED2"/>
    <w:rsid w:val="00361916"/>
    <w:rsid w:val="003620CF"/>
    <w:rsid w:val="00362466"/>
    <w:rsid w:val="00362814"/>
    <w:rsid w:val="00362D0C"/>
    <w:rsid w:val="003634B8"/>
    <w:rsid w:val="003651E2"/>
    <w:rsid w:val="00365580"/>
    <w:rsid w:val="0036755A"/>
    <w:rsid w:val="00367E31"/>
    <w:rsid w:val="00371004"/>
    <w:rsid w:val="00371456"/>
    <w:rsid w:val="00374925"/>
    <w:rsid w:val="003802FC"/>
    <w:rsid w:val="00380DB1"/>
    <w:rsid w:val="00381695"/>
    <w:rsid w:val="00381D85"/>
    <w:rsid w:val="003831AB"/>
    <w:rsid w:val="003853AB"/>
    <w:rsid w:val="00385716"/>
    <w:rsid w:val="003859CB"/>
    <w:rsid w:val="00385C12"/>
    <w:rsid w:val="0038654D"/>
    <w:rsid w:val="00386B57"/>
    <w:rsid w:val="00386E7E"/>
    <w:rsid w:val="003877B1"/>
    <w:rsid w:val="00387E5D"/>
    <w:rsid w:val="00393849"/>
    <w:rsid w:val="00393882"/>
    <w:rsid w:val="00394956"/>
    <w:rsid w:val="0039745F"/>
    <w:rsid w:val="00397D0B"/>
    <w:rsid w:val="003A1BA0"/>
    <w:rsid w:val="003A33BD"/>
    <w:rsid w:val="003A62C1"/>
    <w:rsid w:val="003A6CBF"/>
    <w:rsid w:val="003A7171"/>
    <w:rsid w:val="003A7F12"/>
    <w:rsid w:val="003B0187"/>
    <w:rsid w:val="003B0F09"/>
    <w:rsid w:val="003B1B6B"/>
    <w:rsid w:val="003B3710"/>
    <w:rsid w:val="003B3BB5"/>
    <w:rsid w:val="003B5188"/>
    <w:rsid w:val="003B6A9C"/>
    <w:rsid w:val="003B6C1F"/>
    <w:rsid w:val="003C030D"/>
    <w:rsid w:val="003C129D"/>
    <w:rsid w:val="003C3C0D"/>
    <w:rsid w:val="003C4FC5"/>
    <w:rsid w:val="003C5F96"/>
    <w:rsid w:val="003C720F"/>
    <w:rsid w:val="003C7749"/>
    <w:rsid w:val="003D0FED"/>
    <w:rsid w:val="003D1F90"/>
    <w:rsid w:val="003D27C5"/>
    <w:rsid w:val="003D2FAB"/>
    <w:rsid w:val="003D37CA"/>
    <w:rsid w:val="003D69A3"/>
    <w:rsid w:val="003D7A83"/>
    <w:rsid w:val="003E0EF7"/>
    <w:rsid w:val="003E2665"/>
    <w:rsid w:val="003E36C9"/>
    <w:rsid w:val="003E4FC5"/>
    <w:rsid w:val="003E57E8"/>
    <w:rsid w:val="003E67BD"/>
    <w:rsid w:val="003F051C"/>
    <w:rsid w:val="003F06A3"/>
    <w:rsid w:val="003F31E7"/>
    <w:rsid w:val="003F47C6"/>
    <w:rsid w:val="003F549D"/>
    <w:rsid w:val="003F642D"/>
    <w:rsid w:val="003F6451"/>
    <w:rsid w:val="003F7BA1"/>
    <w:rsid w:val="003F7F51"/>
    <w:rsid w:val="00400B9B"/>
    <w:rsid w:val="00402E59"/>
    <w:rsid w:val="00402FB4"/>
    <w:rsid w:val="00403FDB"/>
    <w:rsid w:val="00404A7B"/>
    <w:rsid w:val="00404D0F"/>
    <w:rsid w:val="00405AD5"/>
    <w:rsid w:val="00405E06"/>
    <w:rsid w:val="004075F0"/>
    <w:rsid w:val="00407FC7"/>
    <w:rsid w:val="0041035F"/>
    <w:rsid w:val="00410739"/>
    <w:rsid w:val="00410D0B"/>
    <w:rsid w:val="00412237"/>
    <w:rsid w:val="00412337"/>
    <w:rsid w:val="00414342"/>
    <w:rsid w:val="004151A0"/>
    <w:rsid w:val="00417C66"/>
    <w:rsid w:val="00417DC1"/>
    <w:rsid w:val="0042160C"/>
    <w:rsid w:val="00422CFF"/>
    <w:rsid w:val="004235DC"/>
    <w:rsid w:val="004248B1"/>
    <w:rsid w:val="00426EB1"/>
    <w:rsid w:val="00427030"/>
    <w:rsid w:val="004301FF"/>
    <w:rsid w:val="00431888"/>
    <w:rsid w:val="00431A94"/>
    <w:rsid w:val="00431F86"/>
    <w:rsid w:val="00432329"/>
    <w:rsid w:val="0043366F"/>
    <w:rsid w:val="0043437E"/>
    <w:rsid w:val="00436233"/>
    <w:rsid w:val="004377CF"/>
    <w:rsid w:val="0044100D"/>
    <w:rsid w:val="004415E1"/>
    <w:rsid w:val="00441789"/>
    <w:rsid w:val="00442BEF"/>
    <w:rsid w:val="0044366F"/>
    <w:rsid w:val="004449AA"/>
    <w:rsid w:val="004457EB"/>
    <w:rsid w:val="0044654D"/>
    <w:rsid w:val="00446DA3"/>
    <w:rsid w:val="00446E8A"/>
    <w:rsid w:val="0044799D"/>
    <w:rsid w:val="00450022"/>
    <w:rsid w:val="00450439"/>
    <w:rsid w:val="004511D2"/>
    <w:rsid w:val="00451BD9"/>
    <w:rsid w:val="00451D9F"/>
    <w:rsid w:val="00453C6A"/>
    <w:rsid w:val="00454490"/>
    <w:rsid w:val="004544F9"/>
    <w:rsid w:val="00454516"/>
    <w:rsid w:val="004548BA"/>
    <w:rsid w:val="004554C3"/>
    <w:rsid w:val="0046000B"/>
    <w:rsid w:val="00461105"/>
    <w:rsid w:val="00462EBB"/>
    <w:rsid w:val="0046313C"/>
    <w:rsid w:val="00463868"/>
    <w:rsid w:val="00463874"/>
    <w:rsid w:val="00463F02"/>
    <w:rsid w:val="00464DA5"/>
    <w:rsid w:val="00465326"/>
    <w:rsid w:val="004671FE"/>
    <w:rsid w:val="00467735"/>
    <w:rsid w:val="0046776F"/>
    <w:rsid w:val="0046792F"/>
    <w:rsid w:val="00470015"/>
    <w:rsid w:val="004713DD"/>
    <w:rsid w:val="004729F5"/>
    <w:rsid w:val="004750C4"/>
    <w:rsid w:val="0047551B"/>
    <w:rsid w:val="00475F1E"/>
    <w:rsid w:val="00477686"/>
    <w:rsid w:val="004778A3"/>
    <w:rsid w:val="00480CA6"/>
    <w:rsid w:val="00484708"/>
    <w:rsid w:val="0048481F"/>
    <w:rsid w:val="0048574D"/>
    <w:rsid w:val="00485884"/>
    <w:rsid w:val="004902D6"/>
    <w:rsid w:val="00491A1D"/>
    <w:rsid w:val="00495103"/>
    <w:rsid w:val="00495F9E"/>
    <w:rsid w:val="004960B7"/>
    <w:rsid w:val="00496D28"/>
    <w:rsid w:val="004A1110"/>
    <w:rsid w:val="004A239B"/>
    <w:rsid w:val="004A60AF"/>
    <w:rsid w:val="004A6853"/>
    <w:rsid w:val="004A70A0"/>
    <w:rsid w:val="004A7484"/>
    <w:rsid w:val="004B03B8"/>
    <w:rsid w:val="004B085E"/>
    <w:rsid w:val="004B1976"/>
    <w:rsid w:val="004B1C06"/>
    <w:rsid w:val="004B21D8"/>
    <w:rsid w:val="004B280C"/>
    <w:rsid w:val="004B3650"/>
    <w:rsid w:val="004B4705"/>
    <w:rsid w:val="004B4CD9"/>
    <w:rsid w:val="004B59CF"/>
    <w:rsid w:val="004C09EA"/>
    <w:rsid w:val="004C0C02"/>
    <w:rsid w:val="004C0C11"/>
    <w:rsid w:val="004C1E55"/>
    <w:rsid w:val="004C2C6F"/>
    <w:rsid w:val="004C33EC"/>
    <w:rsid w:val="004C5184"/>
    <w:rsid w:val="004C6801"/>
    <w:rsid w:val="004D0119"/>
    <w:rsid w:val="004D1871"/>
    <w:rsid w:val="004D1EBF"/>
    <w:rsid w:val="004D244A"/>
    <w:rsid w:val="004D3681"/>
    <w:rsid w:val="004D3D3F"/>
    <w:rsid w:val="004D53EB"/>
    <w:rsid w:val="004D5882"/>
    <w:rsid w:val="004D5DEC"/>
    <w:rsid w:val="004D6837"/>
    <w:rsid w:val="004E1937"/>
    <w:rsid w:val="004E3F88"/>
    <w:rsid w:val="004E437E"/>
    <w:rsid w:val="004E5E6A"/>
    <w:rsid w:val="004E79F0"/>
    <w:rsid w:val="004F197C"/>
    <w:rsid w:val="004F1B77"/>
    <w:rsid w:val="004F1C2C"/>
    <w:rsid w:val="004F3E3E"/>
    <w:rsid w:val="004F40B1"/>
    <w:rsid w:val="004F41AA"/>
    <w:rsid w:val="004F4239"/>
    <w:rsid w:val="004F51D1"/>
    <w:rsid w:val="004F5482"/>
    <w:rsid w:val="004F5533"/>
    <w:rsid w:val="004F7C74"/>
    <w:rsid w:val="00500170"/>
    <w:rsid w:val="00500536"/>
    <w:rsid w:val="00501AAC"/>
    <w:rsid w:val="00502B94"/>
    <w:rsid w:val="0050376D"/>
    <w:rsid w:val="0050715C"/>
    <w:rsid w:val="0051069A"/>
    <w:rsid w:val="00511E75"/>
    <w:rsid w:val="00511EAC"/>
    <w:rsid w:val="00513A19"/>
    <w:rsid w:val="00515823"/>
    <w:rsid w:val="0051636C"/>
    <w:rsid w:val="00517213"/>
    <w:rsid w:val="00517581"/>
    <w:rsid w:val="005175CD"/>
    <w:rsid w:val="00517623"/>
    <w:rsid w:val="0051771D"/>
    <w:rsid w:val="00520038"/>
    <w:rsid w:val="0052049F"/>
    <w:rsid w:val="00521EC6"/>
    <w:rsid w:val="00523CDE"/>
    <w:rsid w:val="0052540B"/>
    <w:rsid w:val="00526064"/>
    <w:rsid w:val="00527896"/>
    <w:rsid w:val="00531482"/>
    <w:rsid w:val="00532388"/>
    <w:rsid w:val="0053274B"/>
    <w:rsid w:val="005328F7"/>
    <w:rsid w:val="00532A09"/>
    <w:rsid w:val="005343EF"/>
    <w:rsid w:val="00534608"/>
    <w:rsid w:val="00535D92"/>
    <w:rsid w:val="00535D98"/>
    <w:rsid w:val="0053671D"/>
    <w:rsid w:val="005406D9"/>
    <w:rsid w:val="00542648"/>
    <w:rsid w:val="0054292D"/>
    <w:rsid w:val="00542F7D"/>
    <w:rsid w:val="00543D57"/>
    <w:rsid w:val="00544347"/>
    <w:rsid w:val="00544E3F"/>
    <w:rsid w:val="00546596"/>
    <w:rsid w:val="005468B8"/>
    <w:rsid w:val="00546D87"/>
    <w:rsid w:val="00546FB1"/>
    <w:rsid w:val="00550376"/>
    <w:rsid w:val="00550484"/>
    <w:rsid w:val="005506F0"/>
    <w:rsid w:val="00551E57"/>
    <w:rsid w:val="00552A67"/>
    <w:rsid w:val="00553428"/>
    <w:rsid w:val="00553BE0"/>
    <w:rsid w:val="005545D9"/>
    <w:rsid w:val="00555B73"/>
    <w:rsid w:val="00557397"/>
    <w:rsid w:val="00557478"/>
    <w:rsid w:val="00557701"/>
    <w:rsid w:val="0055795B"/>
    <w:rsid w:val="00560304"/>
    <w:rsid w:val="005603E9"/>
    <w:rsid w:val="00560555"/>
    <w:rsid w:val="00560E1A"/>
    <w:rsid w:val="00560E90"/>
    <w:rsid w:val="00563289"/>
    <w:rsid w:val="00563B37"/>
    <w:rsid w:val="005652B0"/>
    <w:rsid w:val="005653A2"/>
    <w:rsid w:val="00566606"/>
    <w:rsid w:val="005666E5"/>
    <w:rsid w:val="00566B67"/>
    <w:rsid w:val="00567BD1"/>
    <w:rsid w:val="0057518D"/>
    <w:rsid w:val="00575750"/>
    <w:rsid w:val="00580D27"/>
    <w:rsid w:val="00581FD9"/>
    <w:rsid w:val="0058380D"/>
    <w:rsid w:val="00583A18"/>
    <w:rsid w:val="00583A6F"/>
    <w:rsid w:val="00583C1C"/>
    <w:rsid w:val="00584FA3"/>
    <w:rsid w:val="00585026"/>
    <w:rsid w:val="005857D1"/>
    <w:rsid w:val="005869A5"/>
    <w:rsid w:val="00587123"/>
    <w:rsid w:val="0059008B"/>
    <w:rsid w:val="00591F88"/>
    <w:rsid w:val="005923D0"/>
    <w:rsid w:val="00593BDF"/>
    <w:rsid w:val="00593C08"/>
    <w:rsid w:val="00594197"/>
    <w:rsid w:val="00594503"/>
    <w:rsid w:val="0059519F"/>
    <w:rsid w:val="00595BB1"/>
    <w:rsid w:val="00596A5E"/>
    <w:rsid w:val="00596C68"/>
    <w:rsid w:val="0059736A"/>
    <w:rsid w:val="005976F7"/>
    <w:rsid w:val="00597CCD"/>
    <w:rsid w:val="005A031F"/>
    <w:rsid w:val="005A045A"/>
    <w:rsid w:val="005A0551"/>
    <w:rsid w:val="005A1656"/>
    <w:rsid w:val="005A1761"/>
    <w:rsid w:val="005A2ED9"/>
    <w:rsid w:val="005A2F39"/>
    <w:rsid w:val="005A3261"/>
    <w:rsid w:val="005A4334"/>
    <w:rsid w:val="005A4718"/>
    <w:rsid w:val="005A4834"/>
    <w:rsid w:val="005A62B1"/>
    <w:rsid w:val="005A6C5B"/>
    <w:rsid w:val="005A79A8"/>
    <w:rsid w:val="005B0F21"/>
    <w:rsid w:val="005B1F0C"/>
    <w:rsid w:val="005B1FE7"/>
    <w:rsid w:val="005B2CF7"/>
    <w:rsid w:val="005B2FBA"/>
    <w:rsid w:val="005B34E8"/>
    <w:rsid w:val="005B37DC"/>
    <w:rsid w:val="005B4F38"/>
    <w:rsid w:val="005B619E"/>
    <w:rsid w:val="005B74FD"/>
    <w:rsid w:val="005C036F"/>
    <w:rsid w:val="005C108C"/>
    <w:rsid w:val="005C2E29"/>
    <w:rsid w:val="005C3F73"/>
    <w:rsid w:val="005C4284"/>
    <w:rsid w:val="005C56FA"/>
    <w:rsid w:val="005C763F"/>
    <w:rsid w:val="005C7A37"/>
    <w:rsid w:val="005C7D1B"/>
    <w:rsid w:val="005D00CA"/>
    <w:rsid w:val="005D37B5"/>
    <w:rsid w:val="005D4916"/>
    <w:rsid w:val="005D5E48"/>
    <w:rsid w:val="005D6344"/>
    <w:rsid w:val="005D6D0F"/>
    <w:rsid w:val="005D789A"/>
    <w:rsid w:val="005E08CE"/>
    <w:rsid w:val="005E1D75"/>
    <w:rsid w:val="005E3769"/>
    <w:rsid w:val="005E4B80"/>
    <w:rsid w:val="005E5055"/>
    <w:rsid w:val="005F0157"/>
    <w:rsid w:val="005F01C5"/>
    <w:rsid w:val="005F0BAB"/>
    <w:rsid w:val="005F191C"/>
    <w:rsid w:val="005F1D59"/>
    <w:rsid w:val="005F23A8"/>
    <w:rsid w:val="005F340C"/>
    <w:rsid w:val="005F5DD0"/>
    <w:rsid w:val="005F5FA1"/>
    <w:rsid w:val="005F6476"/>
    <w:rsid w:val="005F6E80"/>
    <w:rsid w:val="005F7080"/>
    <w:rsid w:val="005F7A16"/>
    <w:rsid w:val="006003CD"/>
    <w:rsid w:val="00602B15"/>
    <w:rsid w:val="006059D8"/>
    <w:rsid w:val="00605B49"/>
    <w:rsid w:val="006061D6"/>
    <w:rsid w:val="00606B3E"/>
    <w:rsid w:val="006076AD"/>
    <w:rsid w:val="00607904"/>
    <w:rsid w:val="00607D62"/>
    <w:rsid w:val="00607ECC"/>
    <w:rsid w:val="00610B48"/>
    <w:rsid w:val="00611A2A"/>
    <w:rsid w:val="00611F5C"/>
    <w:rsid w:val="0061252A"/>
    <w:rsid w:val="00614821"/>
    <w:rsid w:val="00614B8D"/>
    <w:rsid w:val="00614EB2"/>
    <w:rsid w:val="0061508B"/>
    <w:rsid w:val="0061589F"/>
    <w:rsid w:val="00617EC3"/>
    <w:rsid w:val="006205A9"/>
    <w:rsid w:val="006211F6"/>
    <w:rsid w:val="00621E55"/>
    <w:rsid w:val="00622E88"/>
    <w:rsid w:val="00626721"/>
    <w:rsid w:val="00627E58"/>
    <w:rsid w:val="00630470"/>
    <w:rsid w:val="00633008"/>
    <w:rsid w:val="00633FF1"/>
    <w:rsid w:val="00640D01"/>
    <w:rsid w:val="00641F94"/>
    <w:rsid w:val="006429D4"/>
    <w:rsid w:val="00642E69"/>
    <w:rsid w:val="006432C0"/>
    <w:rsid w:val="006435F1"/>
    <w:rsid w:val="00645A16"/>
    <w:rsid w:val="006467CF"/>
    <w:rsid w:val="006502A4"/>
    <w:rsid w:val="006505D2"/>
    <w:rsid w:val="00650775"/>
    <w:rsid w:val="006508A2"/>
    <w:rsid w:val="00651A1A"/>
    <w:rsid w:val="00651D55"/>
    <w:rsid w:val="00652213"/>
    <w:rsid w:val="006527DE"/>
    <w:rsid w:val="00653958"/>
    <w:rsid w:val="00653BE5"/>
    <w:rsid w:val="006541C7"/>
    <w:rsid w:val="00656B85"/>
    <w:rsid w:val="00657EB8"/>
    <w:rsid w:val="00660A7D"/>
    <w:rsid w:val="0066214B"/>
    <w:rsid w:val="0066284A"/>
    <w:rsid w:val="00662B1E"/>
    <w:rsid w:val="006632C8"/>
    <w:rsid w:val="00664781"/>
    <w:rsid w:val="006649D2"/>
    <w:rsid w:val="0066600E"/>
    <w:rsid w:val="00666413"/>
    <w:rsid w:val="00666BD1"/>
    <w:rsid w:val="00667D51"/>
    <w:rsid w:val="006743FA"/>
    <w:rsid w:val="00674787"/>
    <w:rsid w:val="00674980"/>
    <w:rsid w:val="006768D1"/>
    <w:rsid w:val="00680C36"/>
    <w:rsid w:val="00681845"/>
    <w:rsid w:val="00682277"/>
    <w:rsid w:val="00682FB5"/>
    <w:rsid w:val="00683917"/>
    <w:rsid w:val="00683958"/>
    <w:rsid w:val="00683BCD"/>
    <w:rsid w:val="006845D6"/>
    <w:rsid w:val="00685CC9"/>
    <w:rsid w:val="00685D8B"/>
    <w:rsid w:val="00686AFE"/>
    <w:rsid w:val="0068713B"/>
    <w:rsid w:val="00690F4F"/>
    <w:rsid w:val="00691062"/>
    <w:rsid w:val="00691CC8"/>
    <w:rsid w:val="00692FB9"/>
    <w:rsid w:val="00693EFC"/>
    <w:rsid w:val="00694482"/>
    <w:rsid w:val="00694B7D"/>
    <w:rsid w:val="00695CE6"/>
    <w:rsid w:val="006966CE"/>
    <w:rsid w:val="006A02C1"/>
    <w:rsid w:val="006A4EE7"/>
    <w:rsid w:val="006A6664"/>
    <w:rsid w:val="006A7B67"/>
    <w:rsid w:val="006B04A5"/>
    <w:rsid w:val="006B06A1"/>
    <w:rsid w:val="006B0823"/>
    <w:rsid w:val="006B1734"/>
    <w:rsid w:val="006B22CD"/>
    <w:rsid w:val="006B2B62"/>
    <w:rsid w:val="006B2E83"/>
    <w:rsid w:val="006B6628"/>
    <w:rsid w:val="006C00E5"/>
    <w:rsid w:val="006C032D"/>
    <w:rsid w:val="006C122F"/>
    <w:rsid w:val="006C3A79"/>
    <w:rsid w:val="006C47C0"/>
    <w:rsid w:val="006C493A"/>
    <w:rsid w:val="006C5B54"/>
    <w:rsid w:val="006C5B7A"/>
    <w:rsid w:val="006C619E"/>
    <w:rsid w:val="006D074A"/>
    <w:rsid w:val="006D1B64"/>
    <w:rsid w:val="006D2521"/>
    <w:rsid w:val="006D2FA4"/>
    <w:rsid w:val="006D34A0"/>
    <w:rsid w:val="006D49FB"/>
    <w:rsid w:val="006D5241"/>
    <w:rsid w:val="006D6AA5"/>
    <w:rsid w:val="006E0FEA"/>
    <w:rsid w:val="006E19B9"/>
    <w:rsid w:val="006E1BB1"/>
    <w:rsid w:val="006E34DD"/>
    <w:rsid w:val="006E378E"/>
    <w:rsid w:val="006E3B16"/>
    <w:rsid w:val="006E4C02"/>
    <w:rsid w:val="006E52F1"/>
    <w:rsid w:val="006E710D"/>
    <w:rsid w:val="006E7C97"/>
    <w:rsid w:val="006F1E2C"/>
    <w:rsid w:val="006F2B0E"/>
    <w:rsid w:val="006F42D6"/>
    <w:rsid w:val="006F55F7"/>
    <w:rsid w:val="006F7736"/>
    <w:rsid w:val="007002BA"/>
    <w:rsid w:val="00700680"/>
    <w:rsid w:val="007014C4"/>
    <w:rsid w:val="00701833"/>
    <w:rsid w:val="00701F1D"/>
    <w:rsid w:val="00706194"/>
    <w:rsid w:val="007078D1"/>
    <w:rsid w:val="00710B18"/>
    <w:rsid w:val="00711724"/>
    <w:rsid w:val="00712C96"/>
    <w:rsid w:val="00712D5D"/>
    <w:rsid w:val="00713368"/>
    <w:rsid w:val="007144BE"/>
    <w:rsid w:val="0071495E"/>
    <w:rsid w:val="00715A30"/>
    <w:rsid w:val="00716DF0"/>
    <w:rsid w:val="007176A4"/>
    <w:rsid w:val="00720467"/>
    <w:rsid w:val="007223E6"/>
    <w:rsid w:val="00722D7F"/>
    <w:rsid w:val="0072309C"/>
    <w:rsid w:val="00725400"/>
    <w:rsid w:val="00726646"/>
    <w:rsid w:val="00726CBA"/>
    <w:rsid w:val="00726DFD"/>
    <w:rsid w:val="0072747A"/>
    <w:rsid w:val="00730BA1"/>
    <w:rsid w:val="00731ACB"/>
    <w:rsid w:val="00731F08"/>
    <w:rsid w:val="007325B6"/>
    <w:rsid w:val="0073325C"/>
    <w:rsid w:val="007334A6"/>
    <w:rsid w:val="00735296"/>
    <w:rsid w:val="00737396"/>
    <w:rsid w:val="007422B9"/>
    <w:rsid w:val="00744106"/>
    <w:rsid w:val="00744151"/>
    <w:rsid w:val="007458D9"/>
    <w:rsid w:val="00745CE5"/>
    <w:rsid w:val="007474B6"/>
    <w:rsid w:val="007504D3"/>
    <w:rsid w:val="00751A9B"/>
    <w:rsid w:val="00751D08"/>
    <w:rsid w:val="00752CF6"/>
    <w:rsid w:val="007537B2"/>
    <w:rsid w:val="0075390D"/>
    <w:rsid w:val="00754793"/>
    <w:rsid w:val="00754994"/>
    <w:rsid w:val="00756C5D"/>
    <w:rsid w:val="00757485"/>
    <w:rsid w:val="0075799F"/>
    <w:rsid w:val="00763B80"/>
    <w:rsid w:val="00763D8A"/>
    <w:rsid w:val="00763F22"/>
    <w:rsid w:val="00763F89"/>
    <w:rsid w:val="0076406C"/>
    <w:rsid w:val="007652E8"/>
    <w:rsid w:val="0076589E"/>
    <w:rsid w:val="00766CF3"/>
    <w:rsid w:val="007675BE"/>
    <w:rsid w:val="00767D3E"/>
    <w:rsid w:val="007706A2"/>
    <w:rsid w:val="00771D26"/>
    <w:rsid w:val="00771DCF"/>
    <w:rsid w:val="00772A31"/>
    <w:rsid w:val="00772E34"/>
    <w:rsid w:val="00773BE3"/>
    <w:rsid w:val="007743BE"/>
    <w:rsid w:val="007747BD"/>
    <w:rsid w:val="00774E96"/>
    <w:rsid w:val="00775033"/>
    <w:rsid w:val="0077514D"/>
    <w:rsid w:val="0077521A"/>
    <w:rsid w:val="007756FA"/>
    <w:rsid w:val="00775819"/>
    <w:rsid w:val="00776552"/>
    <w:rsid w:val="00781128"/>
    <w:rsid w:val="00783C14"/>
    <w:rsid w:val="00783FA6"/>
    <w:rsid w:val="00784C12"/>
    <w:rsid w:val="007855F4"/>
    <w:rsid w:val="0078638C"/>
    <w:rsid w:val="007863CC"/>
    <w:rsid w:val="0078662C"/>
    <w:rsid w:val="007874EB"/>
    <w:rsid w:val="00791D5D"/>
    <w:rsid w:val="00791FEE"/>
    <w:rsid w:val="00792642"/>
    <w:rsid w:val="0079319E"/>
    <w:rsid w:val="00793585"/>
    <w:rsid w:val="00793FA3"/>
    <w:rsid w:val="00795F98"/>
    <w:rsid w:val="00796408"/>
    <w:rsid w:val="007A05AA"/>
    <w:rsid w:val="007A1AF7"/>
    <w:rsid w:val="007A25F5"/>
    <w:rsid w:val="007A288B"/>
    <w:rsid w:val="007A289F"/>
    <w:rsid w:val="007A2FD2"/>
    <w:rsid w:val="007A3522"/>
    <w:rsid w:val="007A5964"/>
    <w:rsid w:val="007A77FD"/>
    <w:rsid w:val="007B06A0"/>
    <w:rsid w:val="007B09CC"/>
    <w:rsid w:val="007B12BC"/>
    <w:rsid w:val="007B4AD8"/>
    <w:rsid w:val="007B6BE7"/>
    <w:rsid w:val="007B7752"/>
    <w:rsid w:val="007B7892"/>
    <w:rsid w:val="007C13B9"/>
    <w:rsid w:val="007C2E5C"/>
    <w:rsid w:val="007C310E"/>
    <w:rsid w:val="007C3262"/>
    <w:rsid w:val="007D0076"/>
    <w:rsid w:val="007D40E8"/>
    <w:rsid w:val="007D4247"/>
    <w:rsid w:val="007D5356"/>
    <w:rsid w:val="007D57E3"/>
    <w:rsid w:val="007D5EA6"/>
    <w:rsid w:val="007D5EDD"/>
    <w:rsid w:val="007D63B0"/>
    <w:rsid w:val="007D71B8"/>
    <w:rsid w:val="007E010C"/>
    <w:rsid w:val="007E3F1F"/>
    <w:rsid w:val="007E4205"/>
    <w:rsid w:val="007E424B"/>
    <w:rsid w:val="007E5D11"/>
    <w:rsid w:val="007E69CC"/>
    <w:rsid w:val="007E6EF8"/>
    <w:rsid w:val="007F350B"/>
    <w:rsid w:val="007F4C2E"/>
    <w:rsid w:val="007F4DEF"/>
    <w:rsid w:val="007F574F"/>
    <w:rsid w:val="007F5C72"/>
    <w:rsid w:val="007F63D3"/>
    <w:rsid w:val="00800EBA"/>
    <w:rsid w:val="00801198"/>
    <w:rsid w:val="008015DB"/>
    <w:rsid w:val="0080235B"/>
    <w:rsid w:val="00804500"/>
    <w:rsid w:val="00804B16"/>
    <w:rsid w:val="00804F2E"/>
    <w:rsid w:val="008051F8"/>
    <w:rsid w:val="00806730"/>
    <w:rsid w:val="00806EAC"/>
    <w:rsid w:val="008109D1"/>
    <w:rsid w:val="00810E23"/>
    <w:rsid w:val="00812EC4"/>
    <w:rsid w:val="00813545"/>
    <w:rsid w:val="00815764"/>
    <w:rsid w:val="00816690"/>
    <w:rsid w:val="0081750C"/>
    <w:rsid w:val="00820436"/>
    <w:rsid w:val="00821BB4"/>
    <w:rsid w:val="008220FA"/>
    <w:rsid w:val="00822C55"/>
    <w:rsid w:val="008251B1"/>
    <w:rsid w:val="008254F8"/>
    <w:rsid w:val="0082790F"/>
    <w:rsid w:val="00827D4E"/>
    <w:rsid w:val="0083167C"/>
    <w:rsid w:val="00831BEA"/>
    <w:rsid w:val="008321D0"/>
    <w:rsid w:val="0083661F"/>
    <w:rsid w:val="00836DF1"/>
    <w:rsid w:val="008405AA"/>
    <w:rsid w:val="008436CD"/>
    <w:rsid w:val="008448D7"/>
    <w:rsid w:val="008476CF"/>
    <w:rsid w:val="00851384"/>
    <w:rsid w:val="0085141A"/>
    <w:rsid w:val="00852E09"/>
    <w:rsid w:val="0085478C"/>
    <w:rsid w:val="00857943"/>
    <w:rsid w:val="00860A73"/>
    <w:rsid w:val="008613E3"/>
    <w:rsid w:val="00862525"/>
    <w:rsid w:val="0086376F"/>
    <w:rsid w:val="0086495E"/>
    <w:rsid w:val="00864E40"/>
    <w:rsid w:val="0086530D"/>
    <w:rsid w:val="00865603"/>
    <w:rsid w:val="00865F74"/>
    <w:rsid w:val="0086643D"/>
    <w:rsid w:val="00866935"/>
    <w:rsid w:val="00866ABD"/>
    <w:rsid w:val="00867189"/>
    <w:rsid w:val="00867330"/>
    <w:rsid w:val="00867537"/>
    <w:rsid w:val="0086758F"/>
    <w:rsid w:val="00867836"/>
    <w:rsid w:val="00870D18"/>
    <w:rsid w:val="00871DEE"/>
    <w:rsid w:val="00871E68"/>
    <w:rsid w:val="00872B54"/>
    <w:rsid w:val="008745CE"/>
    <w:rsid w:val="00874783"/>
    <w:rsid w:val="00874C42"/>
    <w:rsid w:val="00875592"/>
    <w:rsid w:val="008763F2"/>
    <w:rsid w:val="00876F80"/>
    <w:rsid w:val="008774D1"/>
    <w:rsid w:val="0088098F"/>
    <w:rsid w:val="00880A95"/>
    <w:rsid w:val="00880B88"/>
    <w:rsid w:val="00880F5D"/>
    <w:rsid w:val="008815E8"/>
    <w:rsid w:val="00882466"/>
    <w:rsid w:val="0088276F"/>
    <w:rsid w:val="008827A1"/>
    <w:rsid w:val="00883814"/>
    <w:rsid w:val="0088470A"/>
    <w:rsid w:val="008847CC"/>
    <w:rsid w:val="00885041"/>
    <w:rsid w:val="008851A3"/>
    <w:rsid w:val="00885E3E"/>
    <w:rsid w:val="008864E1"/>
    <w:rsid w:val="008865BE"/>
    <w:rsid w:val="00886C6F"/>
    <w:rsid w:val="00890AA7"/>
    <w:rsid w:val="0089122C"/>
    <w:rsid w:val="00891261"/>
    <w:rsid w:val="0089200D"/>
    <w:rsid w:val="00893692"/>
    <w:rsid w:val="00895CC7"/>
    <w:rsid w:val="00896547"/>
    <w:rsid w:val="00896AC9"/>
    <w:rsid w:val="00896DB4"/>
    <w:rsid w:val="00897207"/>
    <w:rsid w:val="008973D6"/>
    <w:rsid w:val="00897D7E"/>
    <w:rsid w:val="008A01A5"/>
    <w:rsid w:val="008A17F1"/>
    <w:rsid w:val="008A27F7"/>
    <w:rsid w:val="008A2EF7"/>
    <w:rsid w:val="008A4496"/>
    <w:rsid w:val="008A45C2"/>
    <w:rsid w:val="008A4E3A"/>
    <w:rsid w:val="008A59E9"/>
    <w:rsid w:val="008A5D42"/>
    <w:rsid w:val="008A652D"/>
    <w:rsid w:val="008A68EC"/>
    <w:rsid w:val="008A7A22"/>
    <w:rsid w:val="008A7F22"/>
    <w:rsid w:val="008B0C85"/>
    <w:rsid w:val="008B1B06"/>
    <w:rsid w:val="008B323E"/>
    <w:rsid w:val="008B3A9D"/>
    <w:rsid w:val="008B3BB4"/>
    <w:rsid w:val="008B54CB"/>
    <w:rsid w:val="008B65CA"/>
    <w:rsid w:val="008B67D2"/>
    <w:rsid w:val="008B72D3"/>
    <w:rsid w:val="008C02B5"/>
    <w:rsid w:val="008C1E35"/>
    <w:rsid w:val="008C2E79"/>
    <w:rsid w:val="008C4E67"/>
    <w:rsid w:val="008C5331"/>
    <w:rsid w:val="008C6CE4"/>
    <w:rsid w:val="008C70AA"/>
    <w:rsid w:val="008D0559"/>
    <w:rsid w:val="008D4338"/>
    <w:rsid w:val="008D629D"/>
    <w:rsid w:val="008D643E"/>
    <w:rsid w:val="008D6464"/>
    <w:rsid w:val="008E2AC2"/>
    <w:rsid w:val="008E2E79"/>
    <w:rsid w:val="008E333E"/>
    <w:rsid w:val="008E43A3"/>
    <w:rsid w:val="008E48A3"/>
    <w:rsid w:val="008E4D5A"/>
    <w:rsid w:val="008E4FC5"/>
    <w:rsid w:val="008E59F6"/>
    <w:rsid w:val="008E7990"/>
    <w:rsid w:val="008F18CF"/>
    <w:rsid w:val="008F26AA"/>
    <w:rsid w:val="008F2768"/>
    <w:rsid w:val="008F27B0"/>
    <w:rsid w:val="008F3BD5"/>
    <w:rsid w:val="008F3C54"/>
    <w:rsid w:val="008F4312"/>
    <w:rsid w:val="008F5EA0"/>
    <w:rsid w:val="008F6F92"/>
    <w:rsid w:val="008F7101"/>
    <w:rsid w:val="008F7E90"/>
    <w:rsid w:val="009018DF"/>
    <w:rsid w:val="00901AD2"/>
    <w:rsid w:val="009026A4"/>
    <w:rsid w:val="0090433D"/>
    <w:rsid w:val="00905360"/>
    <w:rsid w:val="009064A7"/>
    <w:rsid w:val="009064D8"/>
    <w:rsid w:val="009068E1"/>
    <w:rsid w:val="00907232"/>
    <w:rsid w:val="00911061"/>
    <w:rsid w:val="00913307"/>
    <w:rsid w:val="00915B78"/>
    <w:rsid w:val="00916F1A"/>
    <w:rsid w:val="0092098E"/>
    <w:rsid w:val="009244DF"/>
    <w:rsid w:val="00924F09"/>
    <w:rsid w:val="00924FD3"/>
    <w:rsid w:val="00925AD7"/>
    <w:rsid w:val="00926733"/>
    <w:rsid w:val="00927979"/>
    <w:rsid w:val="00931FE5"/>
    <w:rsid w:val="009328CF"/>
    <w:rsid w:val="00933F2D"/>
    <w:rsid w:val="00937091"/>
    <w:rsid w:val="00937288"/>
    <w:rsid w:val="0094051B"/>
    <w:rsid w:val="00941B0C"/>
    <w:rsid w:val="0094211A"/>
    <w:rsid w:val="00942324"/>
    <w:rsid w:val="00942593"/>
    <w:rsid w:val="00942946"/>
    <w:rsid w:val="0094338D"/>
    <w:rsid w:val="00944145"/>
    <w:rsid w:val="00944A19"/>
    <w:rsid w:val="00945502"/>
    <w:rsid w:val="00946A49"/>
    <w:rsid w:val="00950401"/>
    <w:rsid w:val="00950F6F"/>
    <w:rsid w:val="00951CAB"/>
    <w:rsid w:val="00952333"/>
    <w:rsid w:val="009526D7"/>
    <w:rsid w:val="00954689"/>
    <w:rsid w:val="00954D80"/>
    <w:rsid w:val="009551CA"/>
    <w:rsid w:val="009556E9"/>
    <w:rsid w:val="00955D88"/>
    <w:rsid w:val="009561EC"/>
    <w:rsid w:val="009612D4"/>
    <w:rsid w:val="00961BCE"/>
    <w:rsid w:val="00962A21"/>
    <w:rsid w:val="00962AB8"/>
    <w:rsid w:val="00963C51"/>
    <w:rsid w:val="00963D7D"/>
    <w:rsid w:val="00963F31"/>
    <w:rsid w:val="00964371"/>
    <w:rsid w:val="009644E4"/>
    <w:rsid w:val="009648F7"/>
    <w:rsid w:val="00967C31"/>
    <w:rsid w:val="00970311"/>
    <w:rsid w:val="00970A42"/>
    <w:rsid w:val="00971ABE"/>
    <w:rsid w:val="00971EDC"/>
    <w:rsid w:val="009735A9"/>
    <w:rsid w:val="009739A5"/>
    <w:rsid w:val="009749C9"/>
    <w:rsid w:val="00976905"/>
    <w:rsid w:val="00977181"/>
    <w:rsid w:val="009802FE"/>
    <w:rsid w:val="00980E82"/>
    <w:rsid w:val="00980FF4"/>
    <w:rsid w:val="0098152C"/>
    <w:rsid w:val="00982EDE"/>
    <w:rsid w:val="00984686"/>
    <w:rsid w:val="00984F2B"/>
    <w:rsid w:val="00985216"/>
    <w:rsid w:val="00985ED5"/>
    <w:rsid w:val="009865C3"/>
    <w:rsid w:val="00986AC7"/>
    <w:rsid w:val="00986DFA"/>
    <w:rsid w:val="00986EB5"/>
    <w:rsid w:val="00987DC9"/>
    <w:rsid w:val="009918FF"/>
    <w:rsid w:val="00991F05"/>
    <w:rsid w:val="009934F0"/>
    <w:rsid w:val="009942F5"/>
    <w:rsid w:val="00996699"/>
    <w:rsid w:val="009A0280"/>
    <w:rsid w:val="009A28C3"/>
    <w:rsid w:val="009A3624"/>
    <w:rsid w:val="009A4855"/>
    <w:rsid w:val="009A6370"/>
    <w:rsid w:val="009A66F9"/>
    <w:rsid w:val="009A76B8"/>
    <w:rsid w:val="009A7891"/>
    <w:rsid w:val="009B03EA"/>
    <w:rsid w:val="009B2FFF"/>
    <w:rsid w:val="009B3E94"/>
    <w:rsid w:val="009B567E"/>
    <w:rsid w:val="009B5DA9"/>
    <w:rsid w:val="009B6CD2"/>
    <w:rsid w:val="009B6E13"/>
    <w:rsid w:val="009B7181"/>
    <w:rsid w:val="009C05A1"/>
    <w:rsid w:val="009C100D"/>
    <w:rsid w:val="009C1E6E"/>
    <w:rsid w:val="009C2493"/>
    <w:rsid w:val="009C4070"/>
    <w:rsid w:val="009C63EF"/>
    <w:rsid w:val="009C665C"/>
    <w:rsid w:val="009D01F3"/>
    <w:rsid w:val="009D0B36"/>
    <w:rsid w:val="009D0DB6"/>
    <w:rsid w:val="009D10D0"/>
    <w:rsid w:val="009D1C85"/>
    <w:rsid w:val="009D2379"/>
    <w:rsid w:val="009D31EB"/>
    <w:rsid w:val="009D3347"/>
    <w:rsid w:val="009D4095"/>
    <w:rsid w:val="009D4796"/>
    <w:rsid w:val="009D59A4"/>
    <w:rsid w:val="009D5D51"/>
    <w:rsid w:val="009E1DB0"/>
    <w:rsid w:val="009E1E31"/>
    <w:rsid w:val="009E207C"/>
    <w:rsid w:val="009E3182"/>
    <w:rsid w:val="009E3476"/>
    <w:rsid w:val="009E48D2"/>
    <w:rsid w:val="009F099B"/>
    <w:rsid w:val="009F1175"/>
    <w:rsid w:val="009F2B53"/>
    <w:rsid w:val="009F4039"/>
    <w:rsid w:val="009F4F3B"/>
    <w:rsid w:val="009F533F"/>
    <w:rsid w:val="009F558F"/>
    <w:rsid w:val="009F56C2"/>
    <w:rsid w:val="009F7C03"/>
    <w:rsid w:val="009F7D1D"/>
    <w:rsid w:val="00A0267F"/>
    <w:rsid w:val="00A039BD"/>
    <w:rsid w:val="00A03A15"/>
    <w:rsid w:val="00A03A17"/>
    <w:rsid w:val="00A03C2A"/>
    <w:rsid w:val="00A053DF"/>
    <w:rsid w:val="00A05729"/>
    <w:rsid w:val="00A072E6"/>
    <w:rsid w:val="00A1018E"/>
    <w:rsid w:val="00A108FC"/>
    <w:rsid w:val="00A11C09"/>
    <w:rsid w:val="00A123EA"/>
    <w:rsid w:val="00A12FD1"/>
    <w:rsid w:val="00A13A06"/>
    <w:rsid w:val="00A13BA5"/>
    <w:rsid w:val="00A14D6C"/>
    <w:rsid w:val="00A159E4"/>
    <w:rsid w:val="00A2006E"/>
    <w:rsid w:val="00A20A0E"/>
    <w:rsid w:val="00A22152"/>
    <w:rsid w:val="00A242C1"/>
    <w:rsid w:val="00A245F7"/>
    <w:rsid w:val="00A25116"/>
    <w:rsid w:val="00A255C6"/>
    <w:rsid w:val="00A25B36"/>
    <w:rsid w:val="00A266C5"/>
    <w:rsid w:val="00A26ABC"/>
    <w:rsid w:val="00A26B5B"/>
    <w:rsid w:val="00A26C8E"/>
    <w:rsid w:val="00A26D08"/>
    <w:rsid w:val="00A30C79"/>
    <w:rsid w:val="00A3152B"/>
    <w:rsid w:val="00A31C9B"/>
    <w:rsid w:val="00A3263D"/>
    <w:rsid w:val="00A3298C"/>
    <w:rsid w:val="00A32D88"/>
    <w:rsid w:val="00A34963"/>
    <w:rsid w:val="00A351DD"/>
    <w:rsid w:val="00A35E3F"/>
    <w:rsid w:val="00A368D1"/>
    <w:rsid w:val="00A37176"/>
    <w:rsid w:val="00A3738F"/>
    <w:rsid w:val="00A40524"/>
    <w:rsid w:val="00A4084C"/>
    <w:rsid w:val="00A409ED"/>
    <w:rsid w:val="00A41236"/>
    <w:rsid w:val="00A420B4"/>
    <w:rsid w:val="00A42AF8"/>
    <w:rsid w:val="00A43992"/>
    <w:rsid w:val="00A45596"/>
    <w:rsid w:val="00A509F3"/>
    <w:rsid w:val="00A51FD3"/>
    <w:rsid w:val="00A524EE"/>
    <w:rsid w:val="00A529E5"/>
    <w:rsid w:val="00A54411"/>
    <w:rsid w:val="00A56066"/>
    <w:rsid w:val="00A5734E"/>
    <w:rsid w:val="00A57DD3"/>
    <w:rsid w:val="00A609E8"/>
    <w:rsid w:val="00A616E6"/>
    <w:rsid w:val="00A640BF"/>
    <w:rsid w:val="00A65AF5"/>
    <w:rsid w:val="00A665DB"/>
    <w:rsid w:val="00A66747"/>
    <w:rsid w:val="00A66B08"/>
    <w:rsid w:val="00A67757"/>
    <w:rsid w:val="00A678AF"/>
    <w:rsid w:val="00A70198"/>
    <w:rsid w:val="00A7083F"/>
    <w:rsid w:val="00A76107"/>
    <w:rsid w:val="00A76F0B"/>
    <w:rsid w:val="00A8025D"/>
    <w:rsid w:val="00A8050C"/>
    <w:rsid w:val="00A80B59"/>
    <w:rsid w:val="00A8254F"/>
    <w:rsid w:val="00A8267A"/>
    <w:rsid w:val="00A8312F"/>
    <w:rsid w:val="00A832E1"/>
    <w:rsid w:val="00A84560"/>
    <w:rsid w:val="00A853E1"/>
    <w:rsid w:val="00A857D6"/>
    <w:rsid w:val="00A85844"/>
    <w:rsid w:val="00A86730"/>
    <w:rsid w:val="00A868E9"/>
    <w:rsid w:val="00A86A9F"/>
    <w:rsid w:val="00A86F0E"/>
    <w:rsid w:val="00A873C4"/>
    <w:rsid w:val="00A87D42"/>
    <w:rsid w:val="00A93610"/>
    <w:rsid w:val="00A95747"/>
    <w:rsid w:val="00A95CB9"/>
    <w:rsid w:val="00A9671D"/>
    <w:rsid w:val="00A96AAE"/>
    <w:rsid w:val="00A97C3A"/>
    <w:rsid w:val="00AA0122"/>
    <w:rsid w:val="00AA0C63"/>
    <w:rsid w:val="00AA0E7B"/>
    <w:rsid w:val="00AA10DE"/>
    <w:rsid w:val="00AA1708"/>
    <w:rsid w:val="00AA1745"/>
    <w:rsid w:val="00AA1ADD"/>
    <w:rsid w:val="00AA1F6B"/>
    <w:rsid w:val="00AA3BF5"/>
    <w:rsid w:val="00AA42A1"/>
    <w:rsid w:val="00AA76C2"/>
    <w:rsid w:val="00AB1877"/>
    <w:rsid w:val="00AB1C08"/>
    <w:rsid w:val="00AB248F"/>
    <w:rsid w:val="00AB6392"/>
    <w:rsid w:val="00AB655E"/>
    <w:rsid w:val="00AB6DE7"/>
    <w:rsid w:val="00AB751A"/>
    <w:rsid w:val="00AC17FA"/>
    <w:rsid w:val="00AC1B48"/>
    <w:rsid w:val="00AC1F3B"/>
    <w:rsid w:val="00AC2964"/>
    <w:rsid w:val="00AC4050"/>
    <w:rsid w:val="00AC47A2"/>
    <w:rsid w:val="00AC5316"/>
    <w:rsid w:val="00AD00F6"/>
    <w:rsid w:val="00AD08CC"/>
    <w:rsid w:val="00AD2177"/>
    <w:rsid w:val="00AD24BE"/>
    <w:rsid w:val="00AD4E61"/>
    <w:rsid w:val="00AD5ABB"/>
    <w:rsid w:val="00AE1AAC"/>
    <w:rsid w:val="00AE1BA9"/>
    <w:rsid w:val="00AE1CB2"/>
    <w:rsid w:val="00AE1D96"/>
    <w:rsid w:val="00AE2386"/>
    <w:rsid w:val="00AE3C7E"/>
    <w:rsid w:val="00AE57B5"/>
    <w:rsid w:val="00AE64FB"/>
    <w:rsid w:val="00AE658E"/>
    <w:rsid w:val="00AE6C60"/>
    <w:rsid w:val="00AE7BAA"/>
    <w:rsid w:val="00AF0340"/>
    <w:rsid w:val="00AF111D"/>
    <w:rsid w:val="00AF202E"/>
    <w:rsid w:val="00AF3884"/>
    <w:rsid w:val="00AF3B31"/>
    <w:rsid w:val="00AF4229"/>
    <w:rsid w:val="00AF4459"/>
    <w:rsid w:val="00AF5046"/>
    <w:rsid w:val="00AF543F"/>
    <w:rsid w:val="00AF61B4"/>
    <w:rsid w:val="00AF699C"/>
    <w:rsid w:val="00AF72A8"/>
    <w:rsid w:val="00AF77C2"/>
    <w:rsid w:val="00B004C4"/>
    <w:rsid w:val="00B01B07"/>
    <w:rsid w:val="00B0205E"/>
    <w:rsid w:val="00B0220A"/>
    <w:rsid w:val="00B0373A"/>
    <w:rsid w:val="00B03841"/>
    <w:rsid w:val="00B03A61"/>
    <w:rsid w:val="00B03B76"/>
    <w:rsid w:val="00B06CE5"/>
    <w:rsid w:val="00B101A8"/>
    <w:rsid w:val="00B107DA"/>
    <w:rsid w:val="00B116CB"/>
    <w:rsid w:val="00B171E8"/>
    <w:rsid w:val="00B17257"/>
    <w:rsid w:val="00B2028B"/>
    <w:rsid w:val="00B20B43"/>
    <w:rsid w:val="00B215B1"/>
    <w:rsid w:val="00B21C95"/>
    <w:rsid w:val="00B22067"/>
    <w:rsid w:val="00B221C3"/>
    <w:rsid w:val="00B24F5C"/>
    <w:rsid w:val="00B25B51"/>
    <w:rsid w:val="00B25C54"/>
    <w:rsid w:val="00B26785"/>
    <w:rsid w:val="00B30579"/>
    <w:rsid w:val="00B30EE7"/>
    <w:rsid w:val="00B30F80"/>
    <w:rsid w:val="00B329C0"/>
    <w:rsid w:val="00B32BF4"/>
    <w:rsid w:val="00B335EB"/>
    <w:rsid w:val="00B3417F"/>
    <w:rsid w:val="00B341AB"/>
    <w:rsid w:val="00B36CA2"/>
    <w:rsid w:val="00B37982"/>
    <w:rsid w:val="00B40E29"/>
    <w:rsid w:val="00B4198C"/>
    <w:rsid w:val="00B4221C"/>
    <w:rsid w:val="00B44386"/>
    <w:rsid w:val="00B443E0"/>
    <w:rsid w:val="00B450D9"/>
    <w:rsid w:val="00B452FF"/>
    <w:rsid w:val="00B45C1C"/>
    <w:rsid w:val="00B46198"/>
    <w:rsid w:val="00B46752"/>
    <w:rsid w:val="00B471B0"/>
    <w:rsid w:val="00B471CC"/>
    <w:rsid w:val="00B5016C"/>
    <w:rsid w:val="00B50449"/>
    <w:rsid w:val="00B525F6"/>
    <w:rsid w:val="00B52683"/>
    <w:rsid w:val="00B5383E"/>
    <w:rsid w:val="00B53F3F"/>
    <w:rsid w:val="00B573B1"/>
    <w:rsid w:val="00B602EA"/>
    <w:rsid w:val="00B61384"/>
    <w:rsid w:val="00B61BE2"/>
    <w:rsid w:val="00B62591"/>
    <w:rsid w:val="00B63950"/>
    <w:rsid w:val="00B63E4A"/>
    <w:rsid w:val="00B652C1"/>
    <w:rsid w:val="00B65785"/>
    <w:rsid w:val="00B661A0"/>
    <w:rsid w:val="00B678A2"/>
    <w:rsid w:val="00B700CD"/>
    <w:rsid w:val="00B71019"/>
    <w:rsid w:val="00B7272A"/>
    <w:rsid w:val="00B72D3B"/>
    <w:rsid w:val="00B7413F"/>
    <w:rsid w:val="00B74C09"/>
    <w:rsid w:val="00B74DE0"/>
    <w:rsid w:val="00B75283"/>
    <w:rsid w:val="00B76C88"/>
    <w:rsid w:val="00B8043D"/>
    <w:rsid w:val="00B8163A"/>
    <w:rsid w:val="00B8260E"/>
    <w:rsid w:val="00B826AF"/>
    <w:rsid w:val="00B833C3"/>
    <w:rsid w:val="00B86280"/>
    <w:rsid w:val="00B8636C"/>
    <w:rsid w:val="00B86649"/>
    <w:rsid w:val="00B87908"/>
    <w:rsid w:val="00B90E95"/>
    <w:rsid w:val="00B91F6C"/>
    <w:rsid w:val="00B91FF3"/>
    <w:rsid w:val="00B92568"/>
    <w:rsid w:val="00B93504"/>
    <w:rsid w:val="00B94ED5"/>
    <w:rsid w:val="00B95C58"/>
    <w:rsid w:val="00B95F58"/>
    <w:rsid w:val="00B95FCA"/>
    <w:rsid w:val="00B96380"/>
    <w:rsid w:val="00B96B92"/>
    <w:rsid w:val="00B978CA"/>
    <w:rsid w:val="00BA3074"/>
    <w:rsid w:val="00BA3075"/>
    <w:rsid w:val="00BA470A"/>
    <w:rsid w:val="00BA474F"/>
    <w:rsid w:val="00BA5DA6"/>
    <w:rsid w:val="00BA7A16"/>
    <w:rsid w:val="00BA7C88"/>
    <w:rsid w:val="00BB168A"/>
    <w:rsid w:val="00BB1825"/>
    <w:rsid w:val="00BB3B79"/>
    <w:rsid w:val="00BB412F"/>
    <w:rsid w:val="00BB50CF"/>
    <w:rsid w:val="00BB53E6"/>
    <w:rsid w:val="00BB5CF3"/>
    <w:rsid w:val="00BB5FA6"/>
    <w:rsid w:val="00BB6E95"/>
    <w:rsid w:val="00BB7BF4"/>
    <w:rsid w:val="00BC09E6"/>
    <w:rsid w:val="00BC11A3"/>
    <w:rsid w:val="00BC12A7"/>
    <w:rsid w:val="00BC1993"/>
    <w:rsid w:val="00BC27F4"/>
    <w:rsid w:val="00BC512C"/>
    <w:rsid w:val="00BC609E"/>
    <w:rsid w:val="00BC60B7"/>
    <w:rsid w:val="00BD1BFA"/>
    <w:rsid w:val="00BD1ECB"/>
    <w:rsid w:val="00BD2D92"/>
    <w:rsid w:val="00BD3495"/>
    <w:rsid w:val="00BD372B"/>
    <w:rsid w:val="00BD3CFB"/>
    <w:rsid w:val="00BD62C8"/>
    <w:rsid w:val="00BD776C"/>
    <w:rsid w:val="00BE079C"/>
    <w:rsid w:val="00BE0E3F"/>
    <w:rsid w:val="00BE2EB4"/>
    <w:rsid w:val="00BE39D0"/>
    <w:rsid w:val="00BE3BD9"/>
    <w:rsid w:val="00BE44B7"/>
    <w:rsid w:val="00BE5208"/>
    <w:rsid w:val="00BE5348"/>
    <w:rsid w:val="00BE5749"/>
    <w:rsid w:val="00BE6486"/>
    <w:rsid w:val="00BF00DF"/>
    <w:rsid w:val="00BF06ED"/>
    <w:rsid w:val="00BF1262"/>
    <w:rsid w:val="00BF161A"/>
    <w:rsid w:val="00BF1D96"/>
    <w:rsid w:val="00BF212B"/>
    <w:rsid w:val="00BF212F"/>
    <w:rsid w:val="00BF2694"/>
    <w:rsid w:val="00BF3248"/>
    <w:rsid w:val="00BF39EA"/>
    <w:rsid w:val="00BF50CF"/>
    <w:rsid w:val="00BF52A9"/>
    <w:rsid w:val="00BF52DE"/>
    <w:rsid w:val="00C01DC2"/>
    <w:rsid w:val="00C02466"/>
    <w:rsid w:val="00C02A3B"/>
    <w:rsid w:val="00C03071"/>
    <w:rsid w:val="00C03D34"/>
    <w:rsid w:val="00C05223"/>
    <w:rsid w:val="00C05D13"/>
    <w:rsid w:val="00C0700F"/>
    <w:rsid w:val="00C1003B"/>
    <w:rsid w:val="00C11C98"/>
    <w:rsid w:val="00C12CB3"/>
    <w:rsid w:val="00C13334"/>
    <w:rsid w:val="00C13AF2"/>
    <w:rsid w:val="00C14192"/>
    <w:rsid w:val="00C149EE"/>
    <w:rsid w:val="00C15809"/>
    <w:rsid w:val="00C1697B"/>
    <w:rsid w:val="00C17A23"/>
    <w:rsid w:val="00C17B33"/>
    <w:rsid w:val="00C21234"/>
    <w:rsid w:val="00C21698"/>
    <w:rsid w:val="00C2191D"/>
    <w:rsid w:val="00C22314"/>
    <w:rsid w:val="00C229D6"/>
    <w:rsid w:val="00C23008"/>
    <w:rsid w:val="00C238C2"/>
    <w:rsid w:val="00C23E5E"/>
    <w:rsid w:val="00C251DE"/>
    <w:rsid w:val="00C26A97"/>
    <w:rsid w:val="00C27422"/>
    <w:rsid w:val="00C310B7"/>
    <w:rsid w:val="00C31C7A"/>
    <w:rsid w:val="00C32887"/>
    <w:rsid w:val="00C333E3"/>
    <w:rsid w:val="00C35500"/>
    <w:rsid w:val="00C3686F"/>
    <w:rsid w:val="00C40E72"/>
    <w:rsid w:val="00C416B2"/>
    <w:rsid w:val="00C420DC"/>
    <w:rsid w:val="00C426FD"/>
    <w:rsid w:val="00C4323D"/>
    <w:rsid w:val="00C451A6"/>
    <w:rsid w:val="00C4593E"/>
    <w:rsid w:val="00C459E8"/>
    <w:rsid w:val="00C45E58"/>
    <w:rsid w:val="00C46F5D"/>
    <w:rsid w:val="00C476A7"/>
    <w:rsid w:val="00C5015B"/>
    <w:rsid w:val="00C50A14"/>
    <w:rsid w:val="00C51DD7"/>
    <w:rsid w:val="00C521CC"/>
    <w:rsid w:val="00C529E8"/>
    <w:rsid w:val="00C54901"/>
    <w:rsid w:val="00C5493B"/>
    <w:rsid w:val="00C564D6"/>
    <w:rsid w:val="00C56B76"/>
    <w:rsid w:val="00C56E98"/>
    <w:rsid w:val="00C57DFB"/>
    <w:rsid w:val="00C61CB9"/>
    <w:rsid w:val="00C6207B"/>
    <w:rsid w:val="00C6246D"/>
    <w:rsid w:val="00C629C3"/>
    <w:rsid w:val="00C63641"/>
    <w:rsid w:val="00C6448D"/>
    <w:rsid w:val="00C670F9"/>
    <w:rsid w:val="00C671F1"/>
    <w:rsid w:val="00C70152"/>
    <w:rsid w:val="00C71257"/>
    <w:rsid w:val="00C712E0"/>
    <w:rsid w:val="00C72807"/>
    <w:rsid w:val="00C73766"/>
    <w:rsid w:val="00C744A6"/>
    <w:rsid w:val="00C7455C"/>
    <w:rsid w:val="00C747FB"/>
    <w:rsid w:val="00C74B95"/>
    <w:rsid w:val="00C765FB"/>
    <w:rsid w:val="00C776A0"/>
    <w:rsid w:val="00C80D4C"/>
    <w:rsid w:val="00C81DAA"/>
    <w:rsid w:val="00C83728"/>
    <w:rsid w:val="00C851E9"/>
    <w:rsid w:val="00C85307"/>
    <w:rsid w:val="00C86A6D"/>
    <w:rsid w:val="00C86B2A"/>
    <w:rsid w:val="00C86D5F"/>
    <w:rsid w:val="00C873F7"/>
    <w:rsid w:val="00C913EB"/>
    <w:rsid w:val="00C91470"/>
    <w:rsid w:val="00C91B50"/>
    <w:rsid w:val="00C92F87"/>
    <w:rsid w:val="00C94B91"/>
    <w:rsid w:val="00C94C1B"/>
    <w:rsid w:val="00C96332"/>
    <w:rsid w:val="00C97E4D"/>
    <w:rsid w:val="00CA142A"/>
    <w:rsid w:val="00CA208E"/>
    <w:rsid w:val="00CA279D"/>
    <w:rsid w:val="00CA28BF"/>
    <w:rsid w:val="00CA2B6D"/>
    <w:rsid w:val="00CA3248"/>
    <w:rsid w:val="00CA67E3"/>
    <w:rsid w:val="00CA6DCA"/>
    <w:rsid w:val="00CB0267"/>
    <w:rsid w:val="00CB1837"/>
    <w:rsid w:val="00CB54A4"/>
    <w:rsid w:val="00CB71D1"/>
    <w:rsid w:val="00CC08B1"/>
    <w:rsid w:val="00CC12B4"/>
    <w:rsid w:val="00CC37EA"/>
    <w:rsid w:val="00CC6ECB"/>
    <w:rsid w:val="00CC7156"/>
    <w:rsid w:val="00CD131B"/>
    <w:rsid w:val="00CD30DC"/>
    <w:rsid w:val="00CD3375"/>
    <w:rsid w:val="00CD37A9"/>
    <w:rsid w:val="00CD4519"/>
    <w:rsid w:val="00CD47B0"/>
    <w:rsid w:val="00CD68A1"/>
    <w:rsid w:val="00CD73CF"/>
    <w:rsid w:val="00CD77D9"/>
    <w:rsid w:val="00CE06F7"/>
    <w:rsid w:val="00CE0D67"/>
    <w:rsid w:val="00CE0EAD"/>
    <w:rsid w:val="00CE2DFE"/>
    <w:rsid w:val="00CE3523"/>
    <w:rsid w:val="00CE3B29"/>
    <w:rsid w:val="00CE5518"/>
    <w:rsid w:val="00CE6CF0"/>
    <w:rsid w:val="00CE7AA1"/>
    <w:rsid w:val="00CF2BF9"/>
    <w:rsid w:val="00CF3F7E"/>
    <w:rsid w:val="00CF6132"/>
    <w:rsid w:val="00D00E4D"/>
    <w:rsid w:val="00D01015"/>
    <w:rsid w:val="00D01204"/>
    <w:rsid w:val="00D01A48"/>
    <w:rsid w:val="00D024BC"/>
    <w:rsid w:val="00D02766"/>
    <w:rsid w:val="00D02D63"/>
    <w:rsid w:val="00D032A5"/>
    <w:rsid w:val="00D03E6F"/>
    <w:rsid w:val="00D04171"/>
    <w:rsid w:val="00D04234"/>
    <w:rsid w:val="00D0481B"/>
    <w:rsid w:val="00D05086"/>
    <w:rsid w:val="00D054D3"/>
    <w:rsid w:val="00D054F5"/>
    <w:rsid w:val="00D05D38"/>
    <w:rsid w:val="00D05D73"/>
    <w:rsid w:val="00D109B8"/>
    <w:rsid w:val="00D1177A"/>
    <w:rsid w:val="00D12019"/>
    <w:rsid w:val="00D14296"/>
    <w:rsid w:val="00D14BA0"/>
    <w:rsid w:val="00D17605"/>
    <w:rsid w:val="00D22AB4"/>
    <w:rsid w:val="00D23466"/>
    <w:rsid w:val="00D24022"/>
    <w:rsid w:val="00D24892"/>
    <w:rsid w:val="00D24B0E"/>
    <w:rsid w:val="00D25251"/>
    <w:rsid w:val="00D26114"/>
    <w:rsid w:val="00D26683"/>
    <w:rsid w:val="00D27F7B"/>
    <w:rsid w:val="00D30FB3"/>
    <w:rsid w:val="00D31D01"/>
    <w:rsid w:val="00D32B82"/>
    <w:rsid w:val="00D3334E"/>
    <w:rsid w:val="00D33C59"/>
    <w:rsid w:val="00D34589"/>
    <w:rsid w:val="00D354F9"/>
    <w:rsid w:val="00D3569D"/>
    <w:rsid w:val="00D3699E"/>
    <w:rsid w:val="00D37BAC"/>
    <w:rsid w:val="00D4143F"/>
    <w:rsid w:val="00D42ED7"/>
    <w:rsid w:val="00D43257"/>
    <w:rsid w:val="00D43A83"/>
    <w:rsid w:val="00D44127"/>
    <w:rsid w:val="00D45AFB"/>
    <w:rsid w:val="00D509CC"/>
    <w:rsid w:val="00D50F46"/>
    <w:rsid w:val="00D52900"/>
    <w:rsid w:val="00D549E3"/>
    <w:rsid w:val="00D5640D"/>
    <w:rsid w:val="00D56968"/>
    <w:rsid w:val="00D573F6"/>
    <w:rsid w:val="00D579D7"/>
    <w:rsid w:val="00D57B3B"/>
    <w:rsid w:val="00D61A3C"/>
    <w:rsid w:val="00D6396F"/>
    <w:rsid w:val="00D63E7A"/>
    <w:rsid w:val="00D640BB"/>
    <w:rsid w:val="00D64EAF"/>
    <w:rsid w:val="00D65AFC"/>
    <w:rsid w:val="00D66299"/>
    <w:rsid w:val="00D6643F"/>
    <w:rsid w:val="00D66D22"/>
    <w:rsid w:val="00D6716E"/>
    <w:rsid w:val="00D67471"/>
    <w:rsid w:val="00D675C8"/>
    <w:rsid w:val="00D710D0"/>
    <w:rsid w:val="00D7172E"/>
    <w:rsid w:val="00D72078"/>
    <w:rsid w:val="00D7258D"/>
    <w:rsid w:val="00D72A5E"/>
    <w:rsid w:val="00D72A67"/>
    <w:rsid w:val="00D73E47"/>
    <w:rsid w:val="00D74711"/>
    <w:rsid w:val="00D7518A"/>
    <w:rsid w:val="00D7520A"/>
    <w:rsid w:val="00D75560"/>
    <w:rsid w:val="00D76015"/>
    <w:rsid w:val="00D77A39"/>
    <w:rsid w:val="00D81254"/>
    <w:rsid w:val="00D8260F"/>
    <w:rsid w:val="00D82EB3"/>
    <w:rsid w:val="00D8480A"/>
    <w:rsid w:val="00D84BB9"/>
    <w:rsid w:val="00D8604E"/>
    <w:rsid w:val="00D867A9"/>
    <w:rsid w:val="00D9113D"/>
    <w:rsid w:val="00D912E3"/>
    <w:rsid w:val="00D91B3D"/>
    <w:rsid w:val="00D92DF4"/>
    <w:rsid w:val="00D94180"/>
    <w:rsid w:val="00D95372"/>
    <w:rsid w:val="00D966C0"/>
    <w:rsid w:val="00D968F4"/>
    <w:rsid w:val="00D97682"/>
    <w:rsid w:val="00D97F2E"/>
    <w:rsid w:val="00DA0678"/>
    <w:rsid w:val="00DA0D36"/>
    <w:rsid w:val="00DA1180"/>
    <w:rsid w:val="00DA1609"/>
    <w:rsid w:val="00DA1ABD"/>
    <w:rsid w:val="00DA1B21"/>
    <w:rsid w:val="00DA1D5E"/>
    <w:rsid w:val="00DA2408"/>
    <w:rsid w:val="00DA4CAD"/>
    <w:rsid w:val="00DA6428"/>
    <w:rsid w:val="00DA6909"/>
    <w:rsid w:val="00DA7AC2"/>
    <w:rsid w:val="00DA7CE0"/>
    <w:rsid w:val="00DB0183"/>
    <w:rsid w:val="00DB0E92"/>
    <w:rsid w:val="00DB18C4"/>
    <w:rsid w:val="00DB2356"/>
    <w:rsid w:val="00DB3398"/>
    <w:rsid w:val="00DB48E5"/>
    <w:rsid w:val="00DB57D5"/>
    <w:rsid w:val="00DB5E8B"/>
    <w:rsid w:val="00DC100C"/>
    <w:rsid w:val="00DC194E"/>
    <w:rsid w:val="00DC28F0"/>
    <w:rsid w:val="00DD09D5"/>
    <w:rsid w:val="00DD0B6D"/>
    <w:rsid w:val="00DD4803"/>
    <w:rsid w:val="00DD4D00"/>
    <w:rsid w:val="00DD5916"/>
    <w:rsid w:val="00DE026F"/>
    <w:rsid w:val="00DE1306"/>
    <w:rsid w:val="00DE1A15"/>
    <w:rsid w:val="00DE1D66"/>
    <w:rsid w:val="00DE1ED3"/>
    <w:rsid w:val="00DE2BA8"/>
    <w:rsid w:val="00DE2C70"/>
    <w:rsid w:val="00DE2FAF"/>
    <w:rsid w:val="00DE3FA5"/>
    <w:rsid w:val="00DE431A"/>
    <w:rsid w:val="00DE5469"/>
    <w:rsid w:val="00DE54F0"/>
    <w:rsid w:val="00DE5B12"/>
    <w:rsid w:val="00DF1FA8"/>
    <w:rsid w:val="00DF4C00"/>
    <w:rsid w:val="00DF4F4F"/>
    <w:rsid w:val="00DF52E5"/>
    <w:rsid w:val="00E0120C"/>
    <w:rsid w:val="00E03EA0"/>
    <w:rsid w:val="00E0481D"/>
    <w:rsid w:val="00E04996"/>
    <w:rsid w:val="00E07575"/>
    <w:rsid w:val="00E1085C"/>
    <w:rsid w:val="00E11791"/>
    <w:rsid w:val="00E12011"/>
    <w:rsid w:val="00E136A2"/>
    <w:rsid w:val="00E1502E"/>
    <w:rsid w:val="00E1628F"/>
    <w:rsid w:val="00E177C4"/>
    <w:rsid w:val="00E20079"/>
    <w:rsid w:val="00E20998"/>
    <w:rsid w:val="00E21264"/>
    <w:rsid w:val="00E222FF"/>
    <w:rsid w:val="00E22DA8"/>
    <w:rsid w:val="00E24DB8"/>
    <w:rsid w:val="00E25F22"/>
    <w:rsid w:val="00E268F1"/>
    <w:rsid w:val="00E26EFB"/>
    <w:rsid w:val="00E26F37"/>
    <w:rsid w:val="00E27A33"/>
    <w:rsid w:val="00E313FC"/>
    <w:rsid w:val="00E31CA7"/>
    <w:rsid w:val="00E31CAF"/>
    <w:rsid w:val="00E3217B"/>
    <w:rsid w:val="00E33D11"/>
    <w:rsid w:val="00E33E4A"/>
    <w:rsid w:val="00E341C4"/>
    <w:rsid w:val="00E35BB3"/>
    <w:rsid w:val="00E36AB2"/>
    <w:rsid w:val="00E36B9A"/>
    <w:rsid w:val="00E3795C"/>
    <w:rsid w:val="00E37C3C"/>
    <w:rsid w:val="00E40E83"/>
    <w:rsid w:val="00E4276F"/>
    <w:rsid w:val="00E434C8"/>
    <w:rsid w:val="00E43DA4"/>
    <w:rsid w:val="00E44D74"/>
    <w:rsid w:val="00E451A3"/>
    <w:rsid w:val="00E45E37"/>
    <w:rsid w:val="00E5069A"/>
    <w:rsid w:val="00E50931"/>
    <w:rsid w:val="00E52386"/>
    <w:rsid w:val="00E53F11"/>
    <w:rsid w:val="00E540EE"/>
    <w:rsid w:val="00E5606D"/>
    <w:rsid w:val="00E561BF"/>
    <w:rsid w:val="00E57A20"/>
    <w:rsid w:val="00E6047A"/>
    <w:rsid w:val="00E612CB"/>
    <w:rsid w:val="00E61867"/>
    <w:rsid w:val="00E6352F"/>
    <w:rsid w:val="00E64E91"/>
    <w:rsid w:val="00E65721"/>
    <w:rsid w:val="00E65941"/>
    <w:rsid w:val="00E67373"/>
    <w:rsid w:val="00E676C3"/>
    <w:rsid w:val="00E706E4"/>
    <w:rsid w:val="00E7187A"/>
    <w:rsid w:val="00E71A23"/>
    <w:rsid w:val="00E731EA"/>
    <w:rsid w:val="00E7364E"/>
    <w:rsid w:val="00E74AE1"/>
    <w:rsid w:val="00E757D7"/>
    <w:rsid w:val="00E76615"/>
    <w:rsid w:val="00E768AD"/>
    <w:rsid w:val="00E7698E"/>
    <w:rsid w:val="00E76D9D"/>
    <w:rsid w:val="00E77DBC"/>
    <w:rsid w:val="00E8137B"/>
    <w:rsid w:val="00E81FA0"/>
    <w:rsid w:val="00E820B5"/>
    <w:rsid w:val="00E82F2C"/>
    <w:rsid w:val="00E83CBF"/>
    <w:rsid w:val="00E856B6"/>
    <w:rsid w:val="00E85FB2"/>
    <w:rsid w:val="00E91B5F"/>
    <w:rsid w:val="00E9302C"/>
    <w:rsid w:val="00E9307F"/>
    <w:rsid w:val="00E94652"/>
    <w:rsid w:val="00E94A11"/>
    <w:rsid w:val="00E95B56"/>
    <w:rsid w:val="00E969BD"/>
    <w:rsid w:val="00E97507"/>
    <w:rsid w:val="00EA17E0"/>
    <w:rsid w:val="00EA185B"/>
    <w:rsid w:val="00EA2244"/>
    <w:rsid w:val="00EA365B"/>
    <w:rsid w:val="00EA4565"/>
    <w:rsid w:val="00EA4AE5"/>
    <w:rsid w:val="00EA5163"/>
    <w:rsid w:val="00EA6649"/>
    <w:rsid w:val="00EB009D"/>
    <w:rsid w:val="00EB0575"/>
    <w:rsid w:val="00EB3300"/>
    <w:rsid w:val="00EB4A4B"/>
    <w:rsid w:val="00EB4C84"/>
    <w:rsid w:val="00EB4D3F"/>
    <w:rsid w:val="00EB4DDB"/>
    <w:rsid w:val="00EB5A04"/>
    <w:rsid w:val="00EB632D"/>
    <w:rsid w:val="00EB651B"/>
    <w:rsid w:val="00EB678B"/>
    <w:rsid w:val="00EB6E4C"/>
    <w:rsid w:val="00EB7A58"/>
    <w:rsid w:val="00EB7AD3"/>
    <w:rsid w:val="00EC15DC"/>
    <w:rsid w:val="00EC1B36"/>
    <w:rsid w:val="00EC2508"/>
    <w:rsid w:val="00EC5C7D"/>
    <w:rsid w:val="00EC6C54"/>
    <w:rsid w:val="00EC6D47"/>
    <w:rsid w:val="00EC7C35"/>
    <w:rsid w:val="00ED2715"/>
    <w:rsid w:val="00ED2B30"/>
    <w:rsid w:val="00ED35AD"/>
    <w:rsid w:val="00ED4487"/>
    <w:rsid w:val="00ED75BA"/>
    <w:rsid w:val="00EE04EE"/>
    <w:rsid w:val="00EE16FD"/>
    <w:rsid w:val="00EE171A"/>
    <w:rsid w:val="00EE3473"/>
    <w:rsid w:val="00EE5545"/>
    <w:rsid w:val="00EF0044"/>
    <w:rsid w:val="00EF08D0"/>
    <w:rsid w:val="00EF46EC"/>
    <w:rsid w:val="00EF6203"/>
    <w:rsid w:val="00EF7F4E"/>
    <w:rsid w:val="00F001F4"/>
    <w:rsid w:val="00F0021A"/>
    <w:rsid w:val="00F022B7"/>
    <w:rsid w:val="00F027FF"/>
    <w:rsid w:val="00F03488"/>
    <w:rsid w:val="00F03AD9"/>
    <w:rsid w:val="00F06AD2"/>
    <w:rsid w:val="00F103BB"/>
    <w:rsid w:val="00F103E3"/>
    <w:rsid w:val="00F12427"/>
    <w:rsid w:val="00F12DD4"/>
    <w:rsid w:val="00F154A8"/>
    <w:rsid w:val="00F15816"/>
    <w:rsid w:val="00F16648"/>
    <w:rsid w:val="00F16D21"/>
    <w:rsid w:val="00F223B7"/>
    <w:rsid w:val="00F22750"/>
    <w:rsid w:val="00F22DB1"/>
    <w:rsid w:val="00F234D9"/>
    <w:rsid w:val="00F2361F"/>
    <w:rsid w:val="00F23B0A"/>
    <w:rsid w:val="00F23B6C"/>
    <w:rsid w:val="00F24789"/>
    <w:rsid w:val="00F24BFC"/>
    <w:rsid w:val="00F24C48"/>
    <w:rsid w:val="00F250E7"/>
    <w:rsid w:val="00F26CD3"/>
    <w:rsid w:val="00F26DC5"/>
    <w:rsid w:val="00F27DDC"/>
    <w:rsid w:val="00F30A86"/>
    <w:rsid w:val="00F31344"/>
    <w:rsid w:val="00F31593"/>
    <w:rsid w:val="00F318EE"/>
    <w:rsid w:val="00F32B40"/>
    <w:rsid w:val="00F33CF5"/>
    <w:rsid w:val="00F36C4E"/>
    <w:rsid w:val="00F406D9"/>
    <w:rsid w:val="00F410D4"/>
    <w:rsid w:val="00F42224"/>
    <w:rsid w:val="00F4475B"/>
    <w:rsid w:val="00F45BE4"/>
    <w:rsid w:val="00F509B7"/>
    <w:rsid w:val="00F517AC"/>
    <w:rsid w:val="00F51896"/>
    <w:rsid w:val="00F518ED"/>
    <w:rsid w:val="00F51DD9"/>
    <w:rsid w:val="00F5392C"/>
    <w:rsid w:val="00F54137"/>
    <w:rsid w:val="00F54B12"/>
    <w:rsid w:val="00F55CC3"/>
    <w:rsid w:val="00F56213"/>
    <w:rsid w:val="00F574E8"/>
    <w:rsid w:val="00F57FE0"/>
    <w:rsid w:val="00F609A4"/>
    <w:rsid w:val="00F60FA4"/>
    <w:rsid w:val="00F611E1"/>
    <w:rsid w:val="00F61475"/>
    <w:rsid w:val="00F618CC"/>
    <w:rsid w:val="00F61CAF"/>
    <w:rsid w:val="00F62DC5"/>
    <w:rsid w:val="00F63337"/>
    <w:rsid w:val="00F63437"/>
    <w:rsid w:val="00F634F5"/>
    <w:rsid w:val="00F6502D"/>
    <w:rsid w:val="00F71C24"/>
    <w:rsid w:val="00F7271C"/>
    <w:rsid w:val="00F7417B"/>
    <w:rsid w:val="00F747AD"/>
    <w:rsid w:val="00F74B78"/>
    <w:rsid w:val="00F74C0D"/>
    <w:rsid w:val="00F7630F"/>
    <w:rsid w:val="00F800E9"/>
    <w:rsid w:val="00F801B5"/>
    <w:rsid w:val="00F82099"/>
    <w:rsid w:val="00F82455"/>
    <w:rsid w:val="00F845C9"/>
    <w:rsid w:val="00F84A33"/>
    <w:rsid w:val="00F84FCE"/>
    <w:rsid w:val="00F861BC"/>
    <w:rsid w:val="00F86F26"/>
    <w:rsid w:val="00F903D1"/>
    <w:rsid w:val="00F91293"/>
    <w:rsid w:val="00F919FE"/>
    <w:rsid w:val="00F92BC0"/>
    <w:rsid w:val="00F93A96"/>
    <w:rsid w:val="00F9454F"/>
    <w:rsid w:val="00F94C73"/>
    <w:rsid w:val="00F95577"/>
    <w:rsid w:val="00F95AC3"/>
    <w:rsid w:val="00F96A9F"/>
    <w:rsid w:val="00F96D91"/>
    <w:rsid w:val="00FA0ED6"/>
    <w:rsid w:val="00FA15C2"/>
    <w:rsid w:val="00FA1D77"/>
    <w:rsid w:val="00FA29D7"/>
    <w:rsid w:val="00FA2D31"/>
    <w:rsid w:val="00FA2FB5"/>
    <w:rsid w:val="00FA3CDF"/>
    <w:rsid w:val="00FA3DD4"/>
    <w:rsid w:val="00FA65BB"/>
    <w:rsid w:val="00FA70BE"/>
    <w:rsid w:val="00FA7417"/>
    <w:rsid w:val="00FA7EB8"/>
    <w:rsid w:val="00FB05C4"/>
    <w:rsid w:val="00FB15E0"/>
    <w:rsid w:val="00FB190D"/>
    <w:rsid w:val="00FB1E37"/>
    <w:rsid w:val="00FB3159"/>
    <w:rsid w:val="00FB69F5"/>
    <w:rsid w:val="00FC1F84"/>
    <w:rsid w:val="00FC2926"/>
    <w:rsid w:val="00FC34BA"/>
    <w:rsid w:val="00FC3C04"/>
    <w:rsid w:val="00FC4667"/>
    <w:rsid w:val="00FC5F74"/>
    <w:rsid w:val="00FC6AD4"/>
    <w:rsid w:val="00FD00FE"/>
    <w:rsid w:val="00FD0513"/>
    <w:rsid w:val="00FD0B1A"/>
    <w:rsid w:val="00FD2075"/>
    <w:rsid w:val="00FD30A9"/>
    <w:rsid w:val="00FD3A3E"/>
    <w:rsid w:val="00FD3DC8"/>
    <w:rsid w:val="00FD40DE"/>
    <w:rsid w:val="00FD4C37"/>
    <w:rsid w:val="00FD532C"/>
    <w:rsid w:val="00FD6163"/>
    <w:rsid w:val="00FD682E"/>
    <w:rsid w:val="00FD69B5"/>
    <w:rsid w:val="00FD7732"/>
    <w:rsid w:val="00FD7BD2"/>
    <w:rsid w:val="00FE0532"/>
    <w:rsid w:val="00FE09FC"/>
    <w:rsid w:val="00FE1A79"/>
    <w:rsid w:val="00FE1E8C"/>
    <w:rsid w:val="00FE2BB3"/>
    <w:rsid w:val="00FE547F"/>
    <w:rsid w:val="00FE71F2"/>
    <w:rsid w:val="00FE7306"/>
    <w:rsid w:val="00FE763D"/>
    <w:rsid w:val="00FF0BA7"/>
    <w:rsid w:val="00FF119F"/>
    <w:rsid w:val="00FF2EE4"/>
    <w:rsid w:val="00FF5E23"/>
    <w:rsid w:val="00FF73A1"/>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36C1C"/>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82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6B08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B0823"/>
    <w:pPr>
      <w:pBdr>
        <w:top w:val="none" w:sz="0" w:space="0" w:color="auto"/>
      </w:pBdr>
      <w:spacing w:before="180"/>
      <w:ind w:left="0" w:firstLine="0"/>
      <w:outlineLvl w:val="1"/>
    </w:pPr>
    <w:rPr>
      <w:sz w:val="32"/>
    </w:rPr>
  </w:style>
  <w:style w:type="paragraph" w:styleId="Heading3">
    <w:name w:val="heading 3"/>
    <w:basedOn w:val="Heading2"/>
    <w:next w:val="Normal"/>
    <w:qFormat/>
    <w:rsid w:val="006B0823"/>
    <w:pPr>
      <w:spacing w:before="120"/>
      <w:outlineLvl w:val="2"/>
    </w:pPr>
    <w:rPr>
      <w:sz w:val="28"/>
    </w:rPr>
  </w:style>
  <w:style w:type="paragraph" w:styleId="Heading4">
    <w:name w:val="heading 4"/>
    <w:basedOn w:val="Heading3"/>
    <w:next w:val="Normal"/>
    <w:qFormat/>
    <w:rsid w:val="006B0823"/>
    <w:pPr>
      <w:ind w:left="1418" w:hanging="1418"/>
      <w:outlineLvl w:val="3"/>
    </w:pPr>
    <w:rPr>
      <w:sz w:val="24"/>
    </w:rPr>
  </w:style>
  <w:style w:type="paragraph" w:styleId="Heading5">
    <w:name w:val="heading 5"/>
    <w:basedOn w:val="Heading4"/>
    <w:next w:val="Normal"/>
    <w:qFormat/>
    <w:rsid w:val="006B0823"/>
    <w:pPr>
      <w:ind w:left="1701" w:hanging="1701"/>
      <w:outlineLvl w:val="4"/>
    </w:pPr>
    <w:rPr>
      <w:sz w:val="22"/>
    </w:rPr>
  </w:style>
  <w:style w:type="paragraph" w:styleId="Heading6">
    <w:name w:val="heading 6"/>
    <w:basedOn w:val="H6"/>
    <w:next w:val="Normal"/>
    <w:qFormat/>
    <w:rsid w:val="006B0823"/>
    <w:pPr>
      <w:outlineLvl w:val="5"/>
    </w:pPr>
  </w:style>
  <w:style w:type="paragraph" w:styleId="Heading7">
    <w:name w:val="heading 7"/>
    <w:basedOn w:val="H6"/>
    <w:next w:val="Normal"/>
    <w:qFormat/>
    <w:rsid w:val="006B0823"/>
    <w:pPr>
      <w:outlineLvl w:val="6"/>
    </w:pPr>
  </w:style>
  <w:style w:type="paragraph" w:styleId="Heading8">
    <w:name w:val="heading 8"/>
    <w:basedOn w:val="Heading1"/>
    <w:next w:val="Normal"/>
    <w:qFormat/>
    <w:rsid w:val="006B0823"/>
    <w:pPr>
      <w:ind w:left="0" w:firstLine="0"/>
      <w:outlineLvl w:val="7"/>
    </w:pPr>
  </w:style>
  <w:style w:type="paragraph" w:styleId="Heading9">
    <w:name w:val="heading 9"/>
    <w:basedOn w:val="Heading8"/>
    <w:next w:val="Normal"/>
    <w:qFormat/>
    <w:rsid w:val="006B0823"/>
    <w:pPr>
      <w:outlineLvl w:val="8"/>
    </w:pPr>
  </w:style>
  <w:style w:type="character" w:default="1" w:styleId="DefaultParagraphFont">
    <w:name w:val="Default Paragraph Font"/>
    <w:semiHidden/>
    <w:rsid w:val="006B08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0823"/>
  </w:style>
  <w:style w:type="paragraph" w:styleId="TOC8">
    <w:name w:val="toc 8"/>
    <w:basedOn w:val="TOC1"/>
    <w:semiHidden/>
    <w:rsid w:val="006B0823"/>
    <w:pPr>
      <w:spacing w:before="180"/>
      <w:ind w:left="2693" w:hanging="2693"/>
    </w:pPr>
    <w:rPr>
      <w:b/>
    </w:rPr>
  </w:style>
  <w:style w:type="paragraph" w:styleId="TOC1">
    <w:name w:val="toc 1"/>
    <w:semiHidden/>
    <w:rsid w:val="006B08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B08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6B0823"/>
    <w:pPr>
      <w:ind w:left="1701" w:hanging="1701"/>
    </w:pPr>
  </w:style>
  <w:style w:type="paragraph" w:styleId="TOC4">
    <w:name w:val="toc 4"/>
    <w:basedOn w:val="TOC3"/>
    <w:semiHidden/>
    <w:rsid w:val="006B0823"/>
    <w:pPr>
      <w:ind w:left="1418" w:hanging="1418"/>
    </w:pPr>
  </w:style>
  <w:style w:type="paragraph" w:styleId="TOC3">
    <w:name w:val="toc 3"/>
    <w:basedOn w:val="TOC2"/>
    <w:semiHidden/>
    <w:rsid w:val="006B0823"/>
    <w:pPr>
      <w:ind w:left="1134" w:hanging="1134"/>
    </w:pPr>
  </w:style>
  <w:style w:type="paragraph" w:styleId="TOC2">
    <w:name w:val="toc 2"/>
    <w:basedOn w:val="TOC1"/>
    <w:semiHidden/>
    <w:rsid w:val="006B0823"/>
    <w:pPr>
      <w:keepNext w:val="0"/>
      <w:spacing w:before="0"/>
      <w:ind w:left="851" w:hanging="851"/>
    </w:pPr>
    <w:rPr>
      <w:sz w:val="20"/>
    </w:rPr>
  </w:style>
  <w:style w:type="paragraph" w:styleId="Index2">
    <w:name w:val="index 2"/>
    <w:basedOn w:val="Index1"/>
    <w:semiHidden/>
    <w:rsid w:val="006B0823"/>
    <w:pPr>
      <w:ind w:left="284"/>
    </w:pPr>
  </w:style>
  <w:style w:type="paragraph" w:styleId="Index1">
    <w:name w:val="index 1"/>
    <w:basedOn w:val="Normal"/>
    <w:semiHidden/>
    <w:rsid w:val="006B0823"/>
    <w:pPr>
      <w:keepLines/>
      <w:spacing w:after="0"/>
    </w:pPr>
  </w:style>
  <w:style w:type="paragraph" w:customStyle="1" w:styleId="ZH">
    <w:name w:val="ZH"/>
    <w:rsid w:val="006B08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B0823"/>
    <w:pPr>
      <w:outlineLvl w:val="9"/>
    </w:pPr>
  </w:style>
  <w:style w:type="paragraph" w:styleId="ListNumber2">
    <w:name w:val="List Number 2"/>
    <w:basedOn w:val="ListNumber"/>
    <w:semiHidden/>
    <w:rsid w:val="006B0823"/>
    <w:pPr>
      <w:ind w:left="851"/>
    </w:pPr>
  </w:style>
  <w:style w:type="paragraph" w:styleId="Header">
    <w:name w:val="header"/>
    <w:semiHidden/>
    <w:rsid w:val="006B082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6B0823"/>
    <w:rPr>
      <w:b/>
      <w:position w:val="6"/>
      <w:sz w:val="16"/>
    </w:rPr>
  </w:style>
  <w:style w:type="paragraph" w:styleId="FootnoteText">
    <w:name w:val="footnote text"/>
    <w:basedOn w:val="Normal"/>
    <w:semiHidden/>
    <w:rsid w:val="006B0823"/>
    <w:pPr>
      <w:keepLines/>
      <w:spacing w:after="0"/>
      <w:ind w:left="454" w:hanging="454"/>
    </w:pPr>
    <w:rPr>
      <w:sz w:val="16"/>
    </w:rPr>
  </w:style>
  <w:style w:type="paragraph" w:customStyle="1" w:styleId="TAH">
    <w:name w:val="TAH"/>
    <w:basedOn w:val="TAC"/>
    <w:rsid w:val="006B0823"/>
    <w:rPr>
      <w:b/>
    </w:rPr>
  </w:style>
  <w:style w:type="paragraph" w:customStyle="1" w:styleId="TAC">
    <w:name w:val="TAC"/>
    <w:basedOn w:val="TAL"/>
    <w:rsid w:val="006B0823"/>
    <w:pPr>
      <w:jc w:val="center"/>
    </w:pPr>
  </w:style>
  <w:style w:type="paragraph" w:customStyle="1" w:styleId="TF">
    <w:name w:val="TF"/>
    <w:basedOn w:val="TH"/>
    <w:rsid w:val="006B0823"/>
    <w:pPr>
      <w:keepNext w:val="0"/>
      <w:spacing w:before="0" w:after="240"/>
    </w:pPr>
  </w:style>
  <w:style w:type="paragraph" w:customStyle="1" w:styleId="NO">
    <w:name w:val="NO"/>
    <w:basedOn w:val="Normal"/>
    <w:rsid w:val="006B0823"/>
    <w:pPr>
      <w:keepLines/>
      <w:ind w:left="1135" w:hanging="851"/>
    </w:pPr>
  </w:style>
  <w:style w:type="paragraph" w:styleId="TOC9">
    <w:name w:val="toc 9"/>
    <w:basedOn w:val="TOC8"/>
    <w:semiHidden/>
    <w:rsid w:val="006B0823"/>
    <w:pPr>
      <w:ind w:left="1418" w:hanging="1418"/>
    </w:pPr>
  </w:style>
  <w:style w:type="paragraph" w:customStyle="1" w:styleId="EX">
    <w:name w:val="EX"/>
    <w:basedOn w:val="Normal"/>
    <w:rsid w:val="006B0823"/>
    <w:pPr>
      <w:keepLines/>
      <w:ind w:left="1702" w:hanging="1418"/>
    </w:pPr>
  </w:style>
  <w:style w:type="paragraph" w:customStyle="1" w:styleId="FP">
    <w:name w:val="FP"/>
    <w:basedOn w:val="Normal"/>
    <w:rsid w:val="006B0823"/>
    <w:pPr>
      <w:spacing w:after="0"/>
    </w:pPr>
  </w:style>
  <w:style w:type="paragraph" w:customStyle="1" w:styleId="LD">
    <w:name w:val="LD"/>
    <w:rsid w:val="006B082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B0823"/>
    <w:pPr>
      <w:spacing w:after="0"/>
    </w:pPr>
  </w:style>
  <w:style w:type="paragraph" w:customStyle="1" w:styleId="EW">
    <w:name w:val="EW"/>
    <w:basedOn w:val="EX"/>
    <w:rsid w:val="006B0823"/>
    <w:pPr>
      <w:spacing w:after="0"/>
    </w:pPr>
  </w:style>
  <w:style w:type="paragraph" w:styleId="TOC6">
    <w:name w:val="toc 6"/>
    <w:basedOn w:val="TOC5"/>
    <w:next w:val="Normal"/>
    <w:semiHidden/>
    <w:rsid w:val="006B0823"/>
    <w:pPr>
      <w:ind w:left="1985" w:hanging="1985"/>
    </w:pPr>
  </w:style>
  <w:style w:type="paragraph" w:styleId="TOC7">
    <w:name w:val="toc 7"/>
    <w:basedOn w:val="TOC6"/>
    <w:next w:val="Normal"/>
    <w:semiHidden/>
    <w:rsid w:val="006B0823"/>
    <w:pPr>
      <w:ind w:left="2268" w:hanging="2268"/>
    </w:pPr>
  </w:style>
  <w:style w:type="paragraph" w:styleId="ListBullet2">
    <w:name w:val="List Bullet 2"/>
    <w:basedOn w:val="ListBullet"/>
    <w:semiHidden/>
    <w:rsid w:val="006B0823"/>
    <w:pPr>
      <w:ind w:left="851"/>
    </w:pPr>
  </w:style>
  <w:style w:type="paragraph" w:styleId="ListBullet3">
    <w:name w:val="List Bullet 3"/>
    <w:basedOn w:val="ListBullet2"/>
    <w:semiHidden/>
    <w:rsid w:val="006B0823"/>
    <w:pPr>
      <w:ind w:left="1135"/>
    </w:pPr>
  </w:style>
  <w:style w:type="paragraph" w:styleId="ListNumber">
    <w:name w:val="List Number"/>
    <w:basedOn w:val="List"/>
    <w:semiHidden/>
    <w:rsid w:val="006B0823"/>
  </w:style>
  <w:style w:type="paragraph" w:customStyle="1" w:styleId="EQ">
    <w:name w:val="EQ"/>
    <w:basedOn w:val="Normal"/>
    <w:next w:val="Normal"/>
    <w:rsid w:val="006B0823"/>
    <w:pPr>
      <w:keepLines/>
      <w:tabs>
        <w:tab w:val="center" w:pos="4536"/>
        <w:tab w:val="right" w:pos="9072"/>
      </w:tabs>
    </w:pPr>
    <w:rPr>
      <w:noProof/>
    </w:rPr>
  </w:style>
  <w:style w:type="paragraph" w:customStyle="1" w:styleId="TH">
    <w:name w:val="TH"/>
    <w:basedOn w:val="Normal"/>
    <w:rsid w:val="006B0823"/>
    <w:pPr>
      <w:keepNext/>
      <w:keepLines/>
      <w:spacing w:before="60"/>
      <w:jc w:val="center"/>
    </w:pPr>
    <w:rPr>
      <w:rFonts w:ascii="Arial" w:hAnsi="Arial"/>
      <w:b/>
    </w:rPr>
  </w:style>
  <w:style w:type="paragraph" w:customStyle="1" w:styleId="NF">
    <w:name w:val="NF"/>
    <w:basedOn w:val="NO"/>
    <w:rsid w:val="006B0823"/>
    <w:pPr>
      <w:keepNext/>
      <w:spacing w:after="0"/>
    </w:pPr>
    <w:rPr>
      <w:rFonts w:ascii="Arial" w:hAnsi="Arial"/>
      <w:sz w:val="18"/>
    </w:rPr>
  </w:style>
  <w:style w:type="paragraph" w:customStyle="1" w:styleId="PL">
    <w:name w:val="PL"/>
    <w:rsid w:val="006B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0823"/>
    <w:pPr>
      <w:jc w:val="right"/>
    </w:pPr>
  </w:style>
  <w:style w:type="paragraph" w:customStyle="1" w:styleId="H6">
    <w:name w:val="H6"/>
    <w:basedOn w:val="Heading5"/>
    <w:next w:val="Normal"/>
    <w:rsid w:val="006B0823"/>
    <w:pPr>
      <w:ind w:left="1985" w:hanging="1985"/>
      <w:outlineLvl w:val="9"/>
    </w:pPr>
    <w:rPr>
      <w:sz w:val="20"/>
    </w:rPr>
  </w:style>
  <w:style w:type="paragraph" w:customStyle="1" w:styleId="TAN">
    <w:name w:val="TAN"/>
    <w:basedOn w:val="TAL"/>
    <w:rsid w:val="006B0823"/>
    <w:pPr>
      <w:ind w:left="851" w:hanging="851"/>
    </w:pPr>
  </w:style>
  <w:style w:type="paragraph" w:customStyle="1" w:styleId="TAL">
    <w:name w:val="TAL"/>
    <w:basedOn w:val="Normal"/>
    <w:rsid w:val="006B0823"/>
    <w:pPr>
      <w:keepNext/>
      <w:keepLines/>
      <w:spacing w:after="0"/>
    </w:pPr>
    <w:rPr>
      <w:rFonts w:ascii="Arial" w:hAnsi="Arial"/>
      <w:sz w:val="18"/>
    </w:rPr>
  </w:style>
  <w:style w:type="paragraph" w:customStyle="1" w:styleId="ZA">
    <w:name w:val="ZA"/>
    <w:rsid w:val="006B08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08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B08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B08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B0823"/>
    <w:pPr>
      <w:framePr w:wrap="notBeside" w:y="16161"/>
    </w:pPr>
  </w:style>
  <w:style w:type="character" w:customStyle="1" w:styleId="ZGSM">
    <w:name w:val="ZGSM"/>
    <w:rsid w:val="006B0823"/>
  </w:style>
  <w:style w:type="paragraph" w:styleId="List2">
    <w:name w:val="List 2"/>
    <w:basedOn w:val="List"/>
    <w:semiHidden/>
    <w:rsid w:val="006B0823"/>
    <w:pPr>
      <w:ind w:left="851"/>
    </w:pPr>
  </w:style>
  <w:style w:type="paragraph" w:customStyle="1" w:styleId="ZG">
    <w:name w:val="ZG"/>
    <w:rsid w:val="006B08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6B0823"/>
    <w:pPr>
      <w:ind w:left="1135"/>
    </w:pPr>
  </w:style>
  <w:style w:type="paragraph" w:styleId="List4">
    <w:name w:val="List 4"/>
    <w:basedOn w:val="List3"/>
    <w:semiHidden/>
    <w:rsid w:val="006B0823"/>
    <w:pPr>
      <w:ind w:left="1418"/>
    </w:pPr>
  </w:style>
  <w:style w:type="paragraph" w:styleId="List5">
    <w:name w:val="List 5"/>
    <w:basedOn w:val="List4"/>
    <w:semiHidden/>
    <w:rsid w:val="006B0823"/>
    <w:pPr>
      <w:ind w:left="1702"/>
    </w:pPr>
  </w:style>
  <w:style w:type="paragraph" w:customStyle="1" w:styleId="EditorsNote">
    <w:name w:val="Editor's Note"/>
    <w:basedOn w:val="NO"/>
    <w:rsid w:val="006B0823"/>
    <w:rPr>
      <w:color w:val="FF0000"/>
    </w:rPr>
  </w:style>
  <w:style w:type="paragraph" w:styleId="List">
    <w:name w:val="List"/>
    <w:basedOn w:val="Normal"/>
    <w:semiHidden/>
    <w:rsid w:val="006B0823"/>
    <w:pPr>
      <w:ind w:left="568" w:hanging="284"/>
    </w:pPr>
  </w:style>
  <w:style w:type="paragraph" w:styleId="ListBullet">
    <w:name w:val="List Bullet"/>
    <w:basedOn w:val="List"/>
    <w:semiHidden/>
    <w:rsid w:val="006B0823"/>
  </w:style>
  <w:style w:type="paragraph" w:styleId="ListBullet4">
    <w:name w:val="List Bullet 4"/>
    <w:basedOn w:val="ListBullet3"/>
    <w:semiHidden/>
    <w:rsid w:val="006B0823"/>
    <w:pPr>
      <w:ind w:left="1418"/>
    </w:pPr>
  </w:style>
  <w:style w:type="paragraph" w:styleId="ListBullet5">
    <w:name w:val="List Bullet 5"/>
    <w:basedOn w:val="ListBullet4"/>
    <w:semiHidden/>
    <w:rsid w:val="006B0823"/>
    <w:pPr>
      <w:ind w:left="1702"/>
    </w:pPr>
  </w:style>
  <w:style w:type="paragraph" w:customStyle="1" w:styleId="B1">
    <w:name w:val="B1"/>
    <w:basedOn w:val="List"/>
    <w:rsid w:val="006B0823"/>
  </w:style>
  <w:style w:type="paragraph" w:customStyle="1" w:styleId="B2">
    <w:name w:val="B2"/>
    <w:basedOn w:val="List2"/>
    <w:rsid w:val="006B0823"/>
  </w:style>
  <w:style w:type="paragraph" w:customStyle="1" w:styleId="B3">
    <w:name w:val="B3"/>
    <w:basedOn w:val="List3"/>
    <w:rsid w:val="006B0823"/>
  </w:style>
  <w:style w:type="paragraph" w:customStyle="1" w:styleId="B4">
    <w:name w:val="B4"/>
    <w:basedOn w:val="List4"/>
    <w:rsid w:val="006B0823"/>
  </w:style>
  <w:style w:type="paragraph" w:customStyle="1" w:styleId="B5">
    <w:name w:val="B5"/>
    <w:basedOn w:val="List5"/>
    <w:rsid w:val="006B0823"/>
  </w:style>
  <w:style w:type="paragraph" w:styleId="Footer">
    <w:name w:val="footer"/>
    <w:basedOn w:val="Header"/>
    <w:semiHidden/>
    <w:rsid w:val="006B0823"/>
    <w:pPr>
      <w:jc w:val="center"/>
    </w:pPr>
    <w:rPr>
      <w:i/>
    </w:rPr>
  </w:style>
  <w:style w:type="paragraph" w:customStyle="1" w:styleId="ZTD">
    <w:name w:val="ZTD"/>
    <w:basedOn w:val="ZB"/>
    <w:rsid w:val="006B0823"/>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qFormat/>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A1D77"/>
    <w:rPr>
      <w:rFonts w:ascii="Times New Roman" w:hAnsi="Times New Roman"/>
      <w:lang w:val="en-GB"/>
    </w:rPr>
  </w:style>
  <w:style w:type="character" w:customStyle="1" w:styleId="Heading1Char">
    <w:name w:val="Heading 1 Char"/>
    <w:basedOn w:val="DefaultParagraphFont"/>
    <w:link w:val="Heading1"/>
    <w:rsid w:val="00BC12A7"/>
    <w:rPr>
      <w:rFonts w:ascii="Arial" w:eastAsia="Times New Roman" w:hAnsi="Arial"/>
      <w:sz w:val="36"/>
      <w:lang w:val="en-GB"/>
    </w:rPr>
  </w:style>
  <w:style w:type="character" w:styleId="CommentReference">
    <w:name w:val="annotation reference"/>
    <w:basedOn w:val="DefaultParagraphFont"/>
    <w:uiPriority w:val="99"/>
    <w:unhideWhenUsed/>
    <w:qFormat/>
    <w:rsid w:val="00347C4D"/>
    <w:rPr>
      <w:sz w:val="16"/>
      <w:szCs w:val="16"/>
    </w:rPr>
  </w:style>
  <w:style w:type="paragraph" w:styleId="NormalWeb">
    <w:name w:val="Normal (Web)"/>
    <w:basedOn w:val="Normal"/>
    <w:uiPriority w:val="99"/>
    <w:semiHidden/>
    <w:unhideWhenUsed/>
    <w:rsid w:val="0047551B"/>
    <w:pPr>
      <w:overflowPunct/>
      <w:autoSpaceDE/>
      <w:autoSpaceDN/>
      <w:adjustRightInd/>
      <w:spacing w:before="100" w:beforeAutospacing="1" w:after="100" w:afterAutospacing="1"/>
      <w:textAlignment w:val="auto"/>
    </w:pPr>
    <w:rPr>
      <w:sz w:val="24"/>
      <w:szCs w:val="24"/>
      <w:lang w:val="en-US"/>
    </w:rPr>
  </w:style>
  <w:style w:type="paragraph" w:styleId="CommentText">
    <w:name w:val="annotation text"/>
    <w:basedOn w:val="Normal"/>
    <w:link w:val="CommentTextChar"/>
    <w:uiPriority w:val="99"/>
    <w:semiHidden/>
    <w:unhideWhenUsed/>
    <w:rsid w:val="0004508D"/>
    <w:pPr>
      <w:overflowPunct/>
      <w:autoSpaceDE/>
      <w:autoSpaceDN/>
      <w:adjustRightInd/>
      <w:spacing w:after="160"/>
      <w:textAlignment w:val="auto"/>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04508D"/>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1571">
      <w:bodyDiv w:val="1"/>
      <w:marLeft w:val="0"/>
      <w:marRight w:val="0"/>
      <w:marTop w:val="0"/>
      <w:marBottom w:val="0"/>
      <w:divBdr>
        <w:top w:val="none" w:sz="0" w:space="0" w:color="auto"/>
        <w:left w:val="none" w:sz="0" w:space="0" w:color="auto"/>
        <w:bottom w:val="none" w:sz="0" w:space="0" w:color="auto"/>
        <w:right w:val="none" w:sz="0" w:space="0" w:color="auto"/>
      </w:divBdr>
      <w:divsChild>
        <w:div w:id="2063868096">
          <w:marLeft w:val="274"/>
          <w:marRight w:val="0"/>
          <w:marTop w:val="0"/>
          <w:marBottom w:val="0"/>
          <w:divBdr>
            <w:top w:val="none" w:sz="0" w:space="0" w:color="auto"/>
            <w:left w:val="none" w:sz="0" w:space="0" w:color="auto"/>
            <w:bottom w:val="none" w:sz="0" w:space="0" w:color="auto"/>
            <w:right w:val="none" w:sz="0" w:space="0" w:color="auto"/>
          </w:divBdr>
        </w:div>
      </w:divsChild>
    </w:div>
    <w:div w:id="83183543">
      <w:bodyDiv w:val="1"/>
      <w:marLeft w:val="0"/>
      <w:marRight w:val="0"/>
      <w:marTop w:val="0"/>
      <w:marBottom w:val="0"/>
      <w:divBdr>
        <w:top w:val="none" w:sz="0" w:space="0" w:color="auto"/>
        <w:left w:val="none" w:sz="0" w:space="0" w:color="auto"/>
        <w:bottom w:val="none" w:sz="0" w:space="0" w:color="auto"/>
        <w:right w:val="none" w:sz="0" w:space="0" w:color="auto"/>
      </w:divBdr>
      <w:divsChild>
        <w:div w:id="425157264">
          <w:marLeft w:val="274"/>
          <w:marRight w:val="0"/>
          <w:marTop w:val="240"/>
          <w:marBottom w:val="0"/>
          <w:divBdr>
            <w:top w:val="none" w:sz="0" w:space="0" w:color="auto"/>
            <w:left w:val="none" w:sz="0" w:space="0" w:color="auto"/>
            <w:bottom w:val="none" w:sz="0" w:space="0" w:color="auto"/>
            <w:right w:val="none" w:sz="0" w:space="0" w:color="auto"/>
          </w:divBdr>
        </w:div>
        <w:div w:id="2128085931">
          <w:marLeft w:val="533"/>
          <w:marRight w:val="0"/>
          <w:marTop w:val="0"/>
          <w:marBottom w:val="0"/>
          <w:divBdr>
            <w:top w:val="none" w:sz="0" w:space="0" w:color="auto"/>
            <w:left w:val="none" w:sz="0" w:space="0" w:color="auto"/>
            <w:bottom w:val="none" w:sz="0" w:space="0" w:color="auto"/>
            <w:right w:val="none" w:sz="0" w:space="0" w:color="auto"/>
          </w:divBdr>
        </w:div>
        <w:div w:id="1976711699">
          <w:marLeft w:val="533"/>
          <w:marRight w:val="0"/>
          <w:marTop w:val="0"/>
          <w:marBottom w:val="0"/>
          <w:divBdr>
            <w:top w:val="none" w:sz="0" w:space="0" w:color="auto"/>
            <w:left w:val="none" w:sz="0" w:space="0" w:color="auto"/>
            <w:bottom w:val="none" w:sz="0" w:space="0" w:color="auto"/>
            <w:right w:val="none" w:sz="0" w:space="0" w:color="auto"/>
          </w:divBdr>
        </w:div>
      </w:divsChild>
    </w:div>
    <w:div w:id="112990666">
      <w:bodyDiv w:val="1"/>
      <w:marLeft w:val="0"/>
      <w:marRight w:val="0"/>
      <w:marTop w:val="0"/>
      <w:marBottom w:val="0"/>
      <w:divBdr>
        <w:top w:val="none" w:sz="0" w:space="0" w:color="auto"/>
        <w:left w:val="none" w:sz="0" w:space="0" w:color="auto"/>
        <w:bottom w:val="none" w:sz="0" w:space="0" w:color="auto"/>
        <w:right w:val="none" w:sz="0" w:space="0" w:color="auto"/>
      </w:divBdr>
      <w:divsChild>
        <w:div w:id="1303270846">
          <w:marLeft w:val="274"/>
          <w:marRight w:val="0"/>
          <w:marTop w:val="240"/>
          <w:marBottom w:val="0"/>
          <w:divBdr>
            <w:top w:val="none" w:sz="0" w:space="0" w:color="auto"/>
            <w:left w:val="none" w:sz="0" w:space="0" w:color="auto"/>
            <w:bottom w:val="none" w:sz="0" w:space="0" w:color="auto"/>
            <w:right w:val="none" w:sz="0" w:space="0" w:color="auto"/>
          </w:divBdr>
        </w:div>
      </w:divsChild>
    </w:div>
    <w:div w:id="120730276">
      <w:bodyDiv w:val="1"/>
      <w:marLeft w:val="0"/>
      <w:marRight w:val="0"/>
      <w:marTop w:val="0"/>
      <w:marBottom w:val="0"/>
      <w:divBdr>
        <w:top w:val="none" w:sz="0" w:space="0" w:color="auto"/>
        <w:left w:val="none" w:sz="0" w:space="0" w:color="auto"/>
        <w:bottom w:val="none" w:sz="0" w:space="0" w:color="auto"/>
        <w:right w:val="none" w:sz="0" w:space="0" w:color="auto"/>
      </w:divBdr>
      <w:divsChild>
        <w:div w:id="565258975">
          <w:marLeft w:val="274"/>
          <w:marRight w:val="0"/>
          <w:marTop w:val="240"/>
          <w:marBottom w:val="0"/>
          <w:divBdr>
            <w:top w:val="none" w:sz="0" w:space="0" w:color="auto"/>
            <w:left w:val="none" w:sz="0" w:space="0" w:color="auto"/>
            <w:bottom w:val="none" w:sz="0" w:space="0" w:color="auto"/>
            <w:right w:val="none" w:sz="0" w:space="0" w:color="auto"/>
          </w:divBdr>
        </w:div>
        <w:div w:id="771974643">
          <w:marLeft w:val="533"/>
          <w:marRight w:val="0"/>
          <w:marTop w:val="0"/>
          <w:marBottom w:val="0"/>
          <w:divBdr>
            <w:top w:val="none" w:sz="0" w:space="0" w:color="auto"/>
            <w:left w:val="none" w:sz="0" w:space="0" w:color="auto"/>
            <w:bottom w:val="none" w:sz="0" w:space="0" w:color="auto"/>
            <w:right w:val="none" w:sz="0" w:space="0" w:color="auto"/>
          </w:divBdr>
        </w:div>
        <w:div w:id="316492282">
          <w:marLeft w:val="533"/>
          <w:marRight w:val="0"/>
          <w:marTop w:val="0"/>
          <w:marBottom w:val="0"/>
          <w:divBdr>
            <w:top w:val="none" w:sz="0" w:space="0" w:color="auto"/>
            <w:left w:val="none" w:sz="0" w:space="0" w:color="auto"/>
            <w:bottom w:val="none" w:sz="0" w:space="0" w:color="auto"/>
            <w:right w:val="none" w:sz="0" w:space="0" w:color="auto"/>
          </w:divBdr>
        </w:div>
      </w:divsChild>
    </w:div>
    <w:div w:id="309142422">
      <w:bodyDiv w:val="1"/>
      <w:marLeft w:val="0"/>
      <w:marRight w:val="0"/>
      <w:marTop w:val="0"/>
      <w:marBottom w:val="0"/>
      <w:divBdr>
        <w:top w:val="none" w:sz="0" w:space="0" w:color="auto"/>
        <w:left w:val="none" w:sz="0" w:space="0" w:color="auto"/>
        <w:bottom w:val="none" w:sz="0" w:space="0" w:color="auto"/>
        <w:right w:val="none" w:sz="0" w:space="0" w:color="auto"/>
      </w:divBdr>
      <w:divsChild>
        <w:div w:id="2045860831">
          <w:marLeft w:val="274"/>
          <w:marRight w:val="0"/>
          <w:marTop w:val="120"/>
          <w:marBottom w:val="0"/>
          <w:divBdr>
            <w:top w:val="none" w:sz="0" w:space="0" w:color="auto"/>
            <w:left w:val="none" w:sz="0" w:space="0" w:color="auto"/>
            <w:bottom w:val="none" w:sz="0" w:space="0" w:color="auto"/>
            <w:right w:val="none" w:sz="0" w:space="0" w:color="auto"/>
          </w:divBdr>
        </w:div>
      </w:divsChild>
    </w:div>
    <w:div w:id="315573192">
      <w:bodyDiv w:val="1"/>
      <w:marLeft w:val="0"/>
      <w:marRight w:val="0"/>
      <w:marTop w:val="0"/>
      <w:marBottom w:val="0"/>
      <w:divBdr>
        <w:top w:val="none" w:sz="0" w:space="0" w:color="auto"/>
        <w:left w:val="none" w:sz="0" w:space="0" w:color="auto"/>
        <w:bottom w:val="none" w:sz="0" w:space="0" w:color="auto"/>
        <w:right w:val="none" w:sz="0" w:space="0" w:color="auto"/>
      </w:divBdr>
      <w:divsChild>
        <w:div w:id="1473869408">
          <w:marLeft w:val="274"/>
          <w:marRight w:val="0"/>
          <w:marTop w:val="240"/>
          <w:marBottom w:val="0"/>
          <w:divBdr>
            <w:top w:val="none" w:sz="0" w:space="0" w:color="auto"/>
            <w:left w:val="none" w:sz="0" w:space="0" w:color="auto"/>
            <w:bottom w:val="none" w:sz="0" w:space="0" w:color="auto"/>
            <w:right w:val="none" w:sz="0" w:space="0" w:color="auto"/>
          </w:divBdr>
        </w:div>
        <w:div w:id="486672299">
          <w:marLeft w:val="533"/>
          <w:marRight w:val="0"/>
          <w:marTop w:val="0"/>
          <w:marBottom w:val="0"/>
          <w:divBdr>
            <w:top w:val="none" w:sz="0" w:space="0" w:color="auto"/>
            <w:left w:val="none" w:sz="0" w:space="0" w:color="auto"/>
            <w:bottom w:val="none" w:sz="0" w:space="0" w:color="auto"/>
            <w:right w:val="none" w:sz="0" w:space="0" w:color="auto"/>
          </w:divBdr>
        </w:div>
        <w:div w:id="1515069473">
          <w:marLeft w:val="533"/>
          <w:marRight w:val="0"/>
          <w:marTop w:val="0"/>
          <w:marBottom w:val="0"/>
          <w:divBdr>
            <w:top w:val="none" w:sz="0" w:space="0" w:color="auto"/>
            <w:left w:val="none" w:sz="0" w:space="0" w:color="auto"/>
            <w:bottom w:val="none" w:sz="0" w:space="0" w:color="auto"/>
            <w:right w:val="none" w:sz="0" w:space="0" w:color="auto"/>
          </w:divBdr>
        </w:div>
      </w:divsChild>
    </w:div>
    <w:div w:id="463042033">
      <w:bodyDiv w:val="1"/>
      <w:marLeft w:val="0"/>
      <w:marRight w:val="0"/>
      <w:marTop w:val="0"/>
      <w:marBottom w:val="0"/>
      <w:divBdr>
        <w:top w:val="none" w:sz="0" w:space="0" w:color="auto"/>
        <w:left w:val="none" w:sz="0" w:space="0" w:color="auto"/>
        <w:bottom w:val="none" w:sz="0" w:space="0" w:color="auto"/>
        <w:right w:val="none" w:sz="0" w:space="0" w:color="auto"/>
      </w:divBdr>
      <w:divsChild>
        <w:div w:id="777868316">
          <w:marLeft w:val="274"/>
          <w:marRight w:val="0"/>
          <w:marTop w:val="0"/>
          <w:marBottom w:val="0"/>
          <w:divBdr>
            <w:top w:val="none" w:sz="0" w:space="0" w:color="auto"/>
            <w:left w:val="none" w:sz="0" w:space="0" w:color="auto"/>
            <w:bottom w:val="none" w:sz="0" w:space="0" w:color="auto"/>
            <w:right w:val="none" w:sz="0" w:space="0" w:color="auto"/>
          </w:divBdr>
        </w:div>
        <w:div w:id="1849906985">
          <w:marLeft w:val="274"/>
          <w:marRight w:val="0"/>
          <w:marTop w:val="0"/>
          <w:marBottom w:val="0"/>
          <w:divBdr>
            <w:top w:val="none" w:sz="0" w:space="0" w:color="auto"/>
            <w:left w:val="none" w:sz="0" w:space="0" w:color="auto"/>
            <w:bottom w:val="none" w:sz="0" w:space="0" w:color="auto"/>
            <w:right w:val="none" w:sz="0" w:space="0" w:color="auto"/>
          </w:divBdr>
        </w:div>
        <w:div w:id="11804678">
          <w:marLeft w:val="274"/>
          <w:marRight w:val="0"/>
          <w:marTop w:val="0"/>
          <w:marBottom w:val="0"/>
          <w:divBdr>
            <w:top w:val="none" w:sz="0" w:space="0" w:color="auto"/>
            <w:left w:val="none" w:sz="0" w:space="0" w:color="auto"/>
            <w:bottom w:val="none" w:sz="0" w:space="0" w:color="auto"/>
            <w:right w:val="none" w:sz="0" w:space="0" w:color="auto"/>
          </w:divBdr>
        </w:div>
      </w:divsChild>
    </w:div>
    <w:div w:id="502861031">
      <w:bodyDiv w:val="1"/>
      <w:marLeft w:val="0"/>
      <w:marRight w:val="0"/>
      <w:marTop w:val="0"/>
      <w:marBottom w:val="0"/>
      <w:divBdr>
        <w:top w:val="none" w:sz="0" w:space="0" w:color="auto"/>
        <w:left w:val="none" w:sz="0" w:space="0" w:color="auto"/>
        <w:bottom w:val="none" w:sz="0" w:space="0" w:color="auto"/>
        <w:right w:val="none" w:sz="0" w:space="0" w:color="auto"/>
      </w:divBdr>
    </w:div>
    <w:div w:id="517045381">
      <w:bodyDiv w:val="1"/>
      <w:marLeft w:val="0"/>
      <w:marRight w:val="0"/>
      <w:marTop w:val="0"/>
      <w:marBottom w:val="0"/>
      <w:divBdr>
        <w:top w:val="none" w:sz="0" w:space="0" w:color="auto"/>
        <w:left w:val="none" w:sz="0" w:space="0" w:color="auto"/>
        <w:bottom w:val="none" w:sz="0" w:space="0" w:color="auto"/>
        <w:right w:val="none" w:sz="0" w:space="0" w:color="auto"/>
      </w:divBdr>
      <w:divsChild>
        <w:div w:id="1752115602">
          <w:marLeft w:val="274"/>
          <w:marRight w:val="0"/>
          <w:marTop w:val="240"/>
          <w:marBottom w:val="0"/>
          <w:divBdr>
            <w:top w:val="none" w:sz="0" w:space="0" w:color="auto"/>
            <w:left w:val="none" w:sz="0" w:space="0" w:color="auto"/>
            <w:bottom w:val="none" w:sz="0" w:space="0" w:color="auto"/>
            <w:right w:val="none" w:sz="0" w:space="0" w:color="auto"/>
          </w:divBdr>
        </w:div>
        <w:div w:id="775715209">
          <w:marLeft w:val="533"/>
          <w:marRight w:val="0"/>
          <w:marTop w:val="0"/>
          <w:marBottom w:val="0"/>
          <w:divBdr>
            <w:top w:val="none" w:sz="0" w:space="0" w:color="auto"/>
            <w:left w:val="none" w:sz="0" w:space="0" w:color="auto"/>
            <w:bottom w:val="none" w:sz="0" w:space="0" w:color="auto"/>
            <w:right w:val="none" w:sz="0" w:space="0" w:color="auto"/>
          </w:divBdr>
        </w:div>
        <w:div w:id="1919554046">
          <w:marLeft w:val="533"/>
          <w:marRight w:val="0"/>
          <w:marTop w:val="0"/>
          <w:marBottom w:val="0"/>
          <w:divBdr>
            <w:top w:val="none" w:sz="0" w:space="0" w:color="auto"/>
            <w:left w:val="none" w:sz="0" w:space="0" w:color="auto"/>
            <w:bottom w:val="none" w:sz="0" w:space="0" w:color="auto"/>
            <w:right w:val="none" w:sz="0" w:space="0" w:color="auto"/>
          </w:divBdr>
        </w:div>
        <w:div w:id="326327715">
          <w:marLeft w:val="274"/>
          <w:marRight w:val="0"/>
          <w:marTop w:val="240"/>
          <w:marBottom w:val="0"/>
          <w:divBdr>
            <w:top w:val="none" w:sz="0" w:space="0" w:color="auto"/>
            <w:left w:val="none" w:sz="0" w:space="0" w:color="auto"/>
            <w:bottom w:val="none" w:sz="0" w:space="0" w:color="auto"/>
            <w:right w:val="none" w:sz="0" w:space="0" w:color="auto"/>
          </w:divBdr>
        </w:div>
        <w:div w:id="2061056802">
          <w:marLeft w:val="533"/>
          <w:marRight w:val="0"/>
          <w:marTop w:val="0"/>
          <w:marBottom w:val="0"/>
          <w:divBdr>
            <w:top w:val="none" w:sz="0" w:space="0" w:color="auto"/>
            <w:left w:val="none" w:sz="0" w:space="0" w:color="auto"/>
            <w:bottom w:val="none" w:sz="0" w:space="0" w:color="auto"/>
            <w:right w:val="none" w:sz="0" w:space="0" w:color="auto"/>
          </w:divBdr>
        </w:div>
        <w:div w:id="1098991063">
          <w:marLeft w:val="533"/>
          <w:marRight w:val="0"/>
          <w:marTop w:val="0"/>
          <w:marBottom w:val="0"/>
          <w:divBdr>
            <w:top w:val="none" w:sz="0" w:space="0" w:color="auto"/>
            <w:left w:val="none" w:sz="0" w:space="0" w:color="auto"/>
            <w:bottom w:val="none" w:sz="0" w:space="0" w:color="auto"/>
            <w:right w:val="none" w:sz="0" w:space="0" w:color="auto"/>
          </w:divBdr>
        </w:div>
        <w:div w:id="1091196868">
          <w:marLeft w:val="533"/>
          <w:marRight w:val="0"/>
          <w:marTop w:val="0"/>
          <w:marBottom w:val="0"/>
          <w:divBdr>
            <w:top w:val="none" w:sz="0" w:space="0" w:color="auto"/>
            <w:left w:val="none" w:sz="0" w:space="0" w:color="auto"/>
            <w:bottom w:val="none" w:sz="0" w:space="0" w:color="auto"/>
            <w:right w:val="none" w:sz="0" w:space="0" w:color="auto"/>
          </w:divBdr>
        </w:div>
      </w:divsChild>
    </w:div>
    <w:div w:id="624701540">
      <w:bodyDiv w:val="1"/>
      <w:marLeft w:val="0"/>
      <w:marRight w:val="0"/>
      <w:marTop w:val="0"/>
      <w:marBottom w:val="0"/>
      <w:divBdr>
        <w:top w:val="none" w:sz="0" w:space="0" w:color="auto"/>
        <w:left w:val="none" w:sz="0" w:space="0" w:color="auto"/>
        <w:bottom w:val="none" w:sz="0" w:space="0" w:color="auto"/>
        <w:right w:val="none" w:sz="0" w:space="0" w:color="auto"/>
      </w:divBdr>
      <w:divsChild>
        <w:div w:id="333385707">
          <w:marLeft w:val="274"/>
          <w:marRight w:val="0"/>
          <w:marTop w:val="120"/>
          <w:marBottom w:val="0"/>
          <w:divBdr>
            <w:top w:val="none" w:sz="0" w:space="0" w:color="auto"/>
            <w:left w:val="none" w:sz="0" w:space="0" w:color="auto"/>
            <w:bottom w:val="none" w:sz="0" w:space="0" w:color="auto"/>
            <w:right w:val="none" w:sz="0" w:space="0" w:color="auto"/>
          </w:divBdr>
        </w:div>
      </w:divsChild>
    </w:div>
    <w:div w:id="672300119">
      <w:bodyDiv w:val="1"/>
      <w:marLeft w:val="0"/>
      <w:marRight w:val="0"/>
      <w:marTop w:val="0"/>
      <w:marBottom w:val="0"/>
      <w:divBdr>
        <w:top w:val="none" w:sz="0" w:space="0" w:color="auto"/>
        <w:left w:val="none" w:sz="0" w:space="0" w:color="auto"/>
        <w:bottom w:val="none" w:sz="0" w:space="0" w:color="auto"/>
        <w:right w:val="none" w:sz="0" w:space="0" w:color="auto"/>
      </w:divBdr>
      <w:divsChild>
        <w:div w:id="445271183">
          <w:marLeft w:val="274"/>
          <w:marRight w:val="0"/>
          <w:marTop w:val="0"/>
          <w:marBottom w:val="0"/>
          <w:divBdr>
            <w:top w:val="none" w:sz="0" w:space="0" w:color="auto"/>
            <w:left w:val="none" w:sz="0" w:space="0" w:color="auto"/>
            <w:bottom w:val="none" w:sz="0" w:space="0" w:color="auto"/>
            <w:right w:val="none" w:sz="0" w:space="0" w:color="auto"/>
          </w:divBdr>
        </w:div>
        <w:div w:id="413091796">
          <w:marLeft w:val="274"/>
          <w:marRight w:val="0"/>
          <w:marTop w:val="0"/>
          <w:marBottom w:val="0"/>
          <w:divBdr>
            <w:top w:val="none" w:sz="0" w:space="0" w:color="auto"/>
            <w:left w:val="none" w:sz="0" w:space="0" w:color="auto"/>
            <w:bottom w:val="none" w:sz="0" w:space="0" w:color="auto"/>
            <w:right w:val="none" w:sz="0" w:space="0" w:color="auto"/>
          </w:divBdr>
        </w:div>
      </w:divsChild>
    </w:div>
    <w:div w:id="693847546">
      <w:bodyDiv w:val="1"/>
      <w:marLeft w:val="0"/>
      <w:marRight w:val="0"/>
      <w:marTop w:val="0"/>
      <w:marBottom w:val="0"/>
      <w:divBdr>
        <w:top w:val="none" w:sz="0" w:space="0" w:color="auto"/>
        <w:left w:val="none" w:sz="0" w:space="0" w:color="auto"/>
        <w:bottom w:val="none" w:sz="0" w:space="0" w:color="auto"/>
        <w:right w:val="none" w:sz="0" w:space="0" w:color="auto"/>
      </w:divBdr>
      <w:divsChild>
        <w:div w:id="2036416351">
          <w:marLeft w:val="274"/>
          <w:marRight w:val="0"/>
          <w:marTop w:val="0"/>
          <w:marBottom w:val="0"/>
          <w:divBdr>
            <w:top w:val="none" w:sz="0" w:space="0" w:color="auto"/>
            <w:left w:val="none" w:sz="0" w:space="0" w:color="auto"/>
            <w:bottom w:val="none" w:sz="0" w:space="0" w:color="auto"/>
            <w:right w:val="none" w:sz="0" w:space="0" w:color="auto"/>
          </w:divBdr>
        </w:div>
      </w:divsChild>
    </w:div>
    <w:div w:id="808279343">
      <w:bodyDiv w:val="1"/>
      <w:marLeft w:val="0"/>
      <w:marRight w:val="0"/>
      <w:marTop w:val="0"/>
      <w:marBottom w:val="0"/>
      <w:divBdr>
        <w:top w:val="none" w:sz="0" w:space="0" w:color="auto"/>
        <w:left w:val="none" w:sz="0" w:space="0" w:color="auto"/>
        <w:bottom w:val="none" w:sz="0" w:space="0" w:color="auto"/>
        <w:right w:val="none" w:sz="0" w:space="0" w:color="auto"/>
      </w:divBdr>
    </w:div>
    <w:div w:id="896284058">
      <w:bodyDiv w:val="1"/>
      <w:marLeft w:val="0"/>
      <w:marRight w:val="0"/>
      <w:marTop w:val="0"/>
      <w:marBottom w:val="0"/>
      <w:divBdr>
        <w:top w:val="none" w:sz="0" w:space="0" w:color="auto"/>
        <w:left w:val="none" w:sz="0" w:space="0" w:color="auto"/>
        <w:bottom w:val="none" w:sz="0" w:space="0" w:color="auto"/>
        <w:right w:val="none" w:sz="0" w:space="0" w:color="auto"/>
      </w:divBdr>
      <w:divsChild>
        <w:div w:id="1320228601">
          <w:marLeft w:val="274"/>
          <w:marRight w:val="0"/>
          <w:marTop w:val="0"/>
          <w:marBottom w:val="0"/>
          <w:divBdr>
            <w:top w:val="none" w:sz="0" w:space="0" w:color="auto"/>
            <w:left w:val="none" w:sz="0" w:space="0" w:color="auto"/>
            <w:bottom w:val="none" w:sz="0" w:space="0" w:color="auto"/>
            <w:right w:val="none" w:sz="0" w:space="0" w:color="auto"/>
          </w:divBdr>
        </w:div>
        <w:div w:id="1770272616">
          <w:marLeft w:val="533"/>
          <w:marRight w:val="0"/>
          <w:marTop w:val="0"/>
          <w:marBottom w:val="0"/>
          <w:divBdr>
            <w:top w:val="none" w:sz="0" w:space="0" w:color="auto"/>
            <w:left w:val="none" w:sz="0" w:space="0" w:color="auto"/>
            <w:bottom w:val="none" w:sz="0" w:space="0" w:color="auto"/>
            <w:right w:val="none" w:sz="0" w:space="0" w:color="auto"/>
          </w:divBdr>
        </w:div>
      </w:divsChild>
    </w:div>
    <w:div w:id="899940681">
      <w:bodyDiv w:val="1"/>
      <w:marLeft w:val="0"/>
      <w:marRight w:val="0"/>
      <w:marTop w:val="0"/>
      <w:marBottom w:val="0"/>
      <w:divBdr>
        <w:top w:val="none" w:sz="0" w:space="0" w:color="auto"/>
        <w:left w:val="none" w:sz="0" w:space="0" w:color="auto"/>
        <w:bottom w:val="none" w:sz="0" w:space="0" w:color="auto"/>
        <w:right w:val="none" w:sz="0" w:space="0" w:color="auto"/>
      </w:divBdr>
      <w:divsChild>
        <w:div w:id="1347172239">
          <w:marLeft w:val="533"/>
          <w:marRight w:val="0"/>
          <w:marTop w:val="0"/>
          <w:marBottom w:val="0"/>
          <w:divBdr>
            <w:top w:val="none" w:sz="0" w:space="0" w:color="auto"/>
            <w:left w:val="none" w:sz="0" w:space="0" w:color="auto"/>
            <w:bottom w:val="none" w:sz="0" w:space="0" w:color="auto"/>
            <w:right w:val="none" w:sz="0" w:space="0" w:color="auto"/>
          </w:divBdr>
        </w:div>
        <w:div w:id="1578591940">
          <w:marLeft w:val="533"/>
          <w:marRight w:val="0"/>
          <w:marTop w:val="0"/>
          <w:marBottom w:val="0"/>
          <w:divBdr>
            <w:top w:val="none" w:sz="0" w:space="0" w:color="auto"/>
            <w:left w:val="none" w:sz="0" w:space="0" w:color="auto"/>
            <w:bottom w:val="none" w:sz="0" w:space="0" w:color="auto"/>
            <w:right w:val="none" w:sz="0" w:space="0" w:color="auto"/>
          </w:divBdr>
        </w:div>
        <w:div w:id="1589970884">
          <w:marLeft w:val="533"/>
          <w:marRight w:val="0"/>
          <w:marTop w:val="0"/>
          <w:marBottom w:val="0"/>
          <w:divBdr>
            <w:top w:val="none" w:sz="0" w:space="0" w:color="auto"/>
            <w:left w:val="none" w:sz="0" w:space="0" w:color="auto"/>
            <w:bottom w:val="none" w:sz="0" w:space="0" w:color="auto"/>
            <w:right w:val="none" w:sz="0" w:space="0" w:color="auto"/>
          </w:divBdr>
        </w:div>
        <w:div w:id="221216192">
          <w:marLeft w:val="533"/>
          <w:marRight w:val="0"/>
          <w:marTop w:val="0"/>
          <w:marBottom w:val="0"/>
          <w:divBdr>
            <w:top w:val="none" w:sz="0" w:space="0" w:color="auto"/>
            <w:left w:val="none" w:sz="0" w:space="0" w:color="auto"/>
            <w:bottom w:val="none" w:sz="0" w:space="0" w:color="auto"/>
            <w:right w:val="none" w:sz="0" w:space="0" w:color="auto"/>
          </w:divBdr>
        </w:div>
        <w:div w:id="242842067">
          <w:marLeft w:val="533"/>
          <w:marRight w:val="0"/>
          <w:marTop w:val="0"/>
          <w:marBottom w:val="0"/>
          <w:divBdr>
            <w:top w:val="none" w:sz="0" w:space="0" w:color="auto"/>
            <w:left w:val="none" w:sz="0" w:space="0" w:color="auto"/>
            <w:bottom w:val="none" w:sz="0" w:space="0" w:color="auto"/>
            <w:right w:val="none" w:sz="0" w:space="0" w:color="auto"/>
          </w:divBdr>
        </w:div>
      </w:divsChild>
    </w:div>
    <w:div w:id="1119715095">
      <w:bodyDiv w:val="1"/>
      <w:marLeft w:val="0"/>
      <w:marRight w:val="0"/>
      <w:marTop w:val="0"/>
      <w:marBottom w:val="0"/>
      <w:divBdr>
        <w:top w:val="none" w:sz="0" w:space="0" w:color="auto"/>
        <w:left w:val="none" w:sz="0" w:space="0" w:color="auto"/>
        <w:bottom w:val="none" w:sz="0" w:space="0" w:color="auto"/>
        <w:right w:val="none" w:sz="0" w:space="0" w:color="auto"/>
      </w:divBdr>
    </w:div>
    <w:div w:id="1159804020">
      <w:bodyDiv w:val="1"/>
      <w:marLeft w:val="0"/>
      <w:marRight w:val="0"/>
      <w:marTop w:val="0"/>
      <w:marBottom w:val="0"/>
      <w:divBdr>
        <w:top w:val="none" w:sz="0" w:space="0" w:color="auto"/>
        <w:left w:val="none" w:sz="0" w:space="0" w:color="auto"/>
        <w:bottom w:val="none" w:sz="0" w:space="0" w:color="auto"/>
        <w:right w:val="none" w:sz="0" w:space="0" w:color="auto"/>
      </w:divBdr>
      <w:divsChild>
        <w:div w:id="1198816406">
          <w:marLeft w:val="274"/>
          <w:marRight w:val="0"/>
          <w:marTop w:val="240"/>
          <w:marBottom w:val="0"/>
          <w:divBdr>
            <w:top w:val="none" w:sz="0" w:space="0" w:color="auto"/>
            <w:left w:val="none" w:sz="0" w:space="0" w:color="auto"/>
            <w:bottom w:val="none" w:sz="0" w:space="0" w:color="auto"/>
            <w:right w:val="none" w:sz="0" w:space="0" w:color="auto"/>
          </w:divBdr>
        </w:div>
        <w:div w:id="1284537510">
          <w:marLeft w:val="533"/>
          <w:marRight w:val="0"/>
          <w:marTop w:val="0"/>
          <w:marBottom w:val="0"/>
          <w:divBdr>
            <w:top w:val="none" w:sz="0" w:space="0" w:color="auto"/>
            <w:left w:val="none" w:sz="0" w:space="0" w:color="auto"/>
            <w:bottom w:val="none" w:sz="0" w:space="0" w:color="auto"/>
            <w:right w:val="none" w:sz="0" w:space="0" w:color="auto"/>
          </w:divBdr>
        </w:div>
        <w:div w:id="532425321">
          <w:marLeft w:val="533"/>
          <w:marRight w:val="0"/>
          <w:marTop w:val="0"/>
          <w:marBottom w:val="0"/>
          <w:divBdr>
            <w:top w:val="none" w:sz="0" w:space="0" w:color="auto"/>
            <w:left w:val="none" w:sz="0" w:space="0" w:color="auto"/>
            <w:bottom w:val="none" w:sz="0" w:space="0" w:color="auto"/>
            <w:right w:val="none" w:sz="0" w:space="0" w:color="auto"/>
          </w:divBdr>
        </w:div>
        <w:div w:id="1264722712">
          <w:marLeft w:val="806"/>
          <w:marRight w:val="0"/>
          <w:marTop w:val="0"/>
          <w:marBottom w:val="0"/>
          <w:divBdr>
            <w:top w:val="none" w:sz="0" w:space="0" w:color="auto"/>
            <w:left w:val="none" w:sz="0" w:space="0" w:color="auto"/>
            <w:bottom w:val="none" w:sz="0" w:space="0" w:color="auto"/>
            <w:right w:val="none" w:sz="0" w:space="0" w:color="auto"/>
          </w:divBdr>
        </w:div>
        <w:div w:id="1457481459">
          <w:marLeft w:val="533"/>
          <w:marRight w:val="0"/>
          <w:marTop w:val="0"/>
          <w:marBottom w:val="0"/>
          <w:divBdr>
            <w:top w:val="none" w:sz="0" w:space="0" w:color="auto"/>
            <w:left w:val="none" w:sz="0" w:space="0" w:color="auto"/>
            <w:bottom w:val="none" w:sz="0" w:space="0" w:color="auto"/>
            <w:right w:val="none" w:sz="0" w:space="0" w:color="auto"/>
          </w:divBdr>
        </w:div>
        <w:div w:id="339084110">
          <w:marLeft w:val="806"/>
          <w:marRight w:val="0"/>
          <w:marTop w:val="0"/>
          <w:marBottom w:val="0"/>
          <w:divBdr>
            <w:top w:val="none" w:sz="0" w:space="0" w:color="auto"/>
            <w:left w:val="none" w:sz="0" w:space="0" w:color="auto"/>
            <w:bottom w:val="none" w:sz="0" w:space="0" w:color="auto"/>
            <w:right w:val="none" w:sz="0" w:space="0" w:color="auto"/>
          </w:divBdr>
        </w:div>
      </w:divsChild>
    </w:div>
    <w:div w:id="1186940656">
      <w:bodyDiv w:val="1"/>
      <w:marLeft w:val="0"/>
      <w:marRight w:val="0"/>
      <w:marTop w:val="0"/>
      <w:marBottom w:val="0"/>
      <w:divBdr>
        <w:top w:val="none" w:sz="0" w:space="0" w:color="auto"/>
        <w:left w:val="none" w:sz="0" w:space="0" w:color="auto"/>
        <w:bottom w:val="none" w:sz="0" w:space="0" w:color="auto"/>
        <w:right w:val="none" w:sz="0" w:space="0" w:color="auto"/>
      </w:divBdr>
      <w:divsChild>
        <w:div w:id="54208940">
          <w:marLeft w:val="274"/>
          <w:marRight w:val="0"/>
          <w:marTop w:val="0"/>
          <w:marBottom w:val="0"/>
          <w:divBdr>
            <w:top w:val="none" w:sz="0" w:space="0" w:color="auto"/>
            <w:left w:val="none" w:sz="0" w:space="0" w:color="auto"/>
            <w:bottom w:val="none" w:sz="0" w:space="0" w:color="auto"/>
            <w:right w:val="none" w:sz="0" w:space="0" w:color="auto"/>
          </w:divBdr>
        </w:div>
        <w:div w:id="294408735">
          <w:marLeft w:val="274"/>
          <w:marRight w:val="0"/>
          <w:marTop w:val="0"/>
          <w:marBottom w:val="0"/>
          <w:divBdr>
            <w:top w:val="none" w:sz="0" w:space="0" w:color="auto"/>
            <w:left w:val="none" w:sz="0" w:space="0" w:color="auto"/>
            <w:bottom w:val="none" w:sz="0" w:space="0" w:color="auto"/>
            <w:right w:val="none" w:sz="0" w:space="0" w:color="auto"/>
          </w:divBdr>
        </w:div>
        <w:div w:id="1037244469">
          <w:marLeft w:val="274"/>
          <w:marRight w:val="0"/>
          <w:marTop w:val="0"/>
          <w:marBottom w:val="0"/>
          <w:divBdr>
            <w:top w:val="none" w:sz="0" w:space="0" w:color="auto"/>
            <w:left w:val="none" w:sz="0" w:space="0" w:color="auto"/>
            <w:bottom w:val="none" w:sz="0" w:space="0" w:color="auto"/>
            <w:right w:val="none" w:sz="0" w:space="0" w:color="auto"/>
          </w:divBdr>
        </w:div>
      </w:divsChild>
    </w:div>
    <w:div w:id="1237669650">
      <w:bodyDiv w:val="1"/>
      <w:marLeft w:val="0"/>
      <w:marRight w:val="0"/>
      <w:marTop w:val="0"/>
      <w:marBottom w:val="0"/>
      <w:divBdr>
        <w:top w:val="none" w:sz="0" w:space="0" w:color="auto"/>
        <w:left w:val="none" w:sz="0" w:space="0" w:color="auto"/>
        <w:bottom w:val="none" w:sz="0" w:space="0" w:color="auto"/>
        <w:right w:val="none" w:sz="0" w:space="0" w:color="auto"/>
      </w:divBdr>
      <w:divsChild>
        <w:div w:id="1003164628">
          <w:marLeft w:val="274"/>
          <w:marRight w:val="0"/>
          <w:marTop w:val="120"/>
          <w:marBottom w:val="0"/>
          <w:divBdr>
            <w:top w:val="none" w:sz="0" w:space="0" w:color="auto"/>
            <w:left w:val="none" w:sz="0" w:space="0" w:color="auto"/>
            <w:bottom w:val="none" w:sz="0" w:space="0" w:color="auto"/>
            <w:right w:val="none" w:sz="0" w:space="0" w:color="auto"/>
          </w:divBdr>
        </w:div>
      </w:divsChild>
    </w:div>
    <w:div w:id="1242447462">
      <w:bodyDiv w:val="1"/>
      <w:marLeft w:val="0"/>
      <w:marRight w:val="0"/>
      <w:marTop w:val="0"/>
      <w:marBottom w:val="0"/>
      <w:divBdr>
        <w:top w:val="none" w:sz="0" w:space="0" w:color="auto"/>
        <w:left w:val="none" w:sz="0" w:space="0" w:color="auto"/>
        <w:bottom w:val="none" w:sz="0" w:space="0" w:color="auto"/>
        <w:right w:val="none" w:sz="0" w:space="0" w:color="auto"/>
      </w:divBdr>
      <w:divsChild>
        <w:div w:id="654260803">
          <w:marLeft w:val="274"/>
          <w:marRight w:val="0"/>
          <w:marTop w:val="0"/>
          <w:marBottom w:val="0"/>
          <w:divBdr>
            <w:top w:val="none" w:sz="0" w:space="0" w:color="auto"/>
            <w:left w:val="none" w:sz="0" w:space="0" w:color="auto"/>
            <w:bottom w:val="none" w:sz="0" w:space="0" w:color="auto"/>
            <w:right w:val="none" w:sz="0" w:space="0" w:color="auto"/>
          </w:divBdr>
        </w:div>
        <w:div w:id="1653633511">
          <w:marLeft w:val="533"/>
          <w:marRight w:val="0"/>
          <w:marTop w:val="0"/>
          <w:marBottom w:val="0"/>
          <w:divBdr>
            <w:top w:val="none" w:sz="0" w:space="0" w:color="auto"/>
            <w:left w:val="none" w:sz="0" w:space="0" w:color="auto"/>
            <w:bottom w:val="none" w:sz="0" w:space="0" w:color="auto"/>
            <w:right w:val="none" w:sz="0" w:space="0" w:color="auto"/>
          </w:divBdr>
        </w:div>
      </w:divsChild>
    </w:div>
    <w:div w:id="1264269288">
      <w:bodyDiv w:val="1"/>
      <w:marLeft w:val="0"/>
      <w:marRight w:val="0"/>
      <w:marTop w:val="0"/>
      <w:marBottom w:val="0"/>
      <w:divBdr>
        <w:top w:val="none" w:sz="0" w:space="0" w:color="auto"/>
        <w:left w:val="none" w:sz="0" w:space="0" w:color="auto"/>
        <w:bottom w:val="none" w:sz="0" w:space="0" w:color="auto"/>
        <w:right w:val="none" w:sz="0" w:space="0" w:color="auto"/>
      </w:divBdr>
      <w:divsChild>
        <w:div w:id="724909881">
          <w:marLeft w:val="274"/>
          <w:marRight w:val="0"/>
          <w:marTop w:val="240"/>
          <w:marBottom w:val="0"/>
          <w:divBdr>
            <w:top w:val="none" w:sz="0" w:space="0" w:color="auto"/>
            <w:left w:val="none" w:sz="0" w:space="0" w:color="auto"/>
            <w:bottom w:val="none" w:sz="0" w:space="0" w:color="auto"/>
            <w:right w:val="none" w:sz="0" w:space="0" w:color="auto"/>
          </w:divBdr>
        </w:div>
        <w:div w:id="1761179047">
          <w:marLeft w:val="533"/>
          <w:marRight w:val="0"/>
          <w:marTop w:val="0"/>
          <w:marBottom w:val="0"/>
          <w:divBdr>
            <w:top w:val="none" w:sz="0" w:space="0" w:color="auto"/>
            <w:left w:val="none" w:sz="0" w:space="0" w:color="auto"/>
            <w:bottom w:val="none" w:sz="0" w:space="0" w:color="auto"/>
            <w:right w:val="none" w:sz="0" w:space="0" w:color="auto"/>
          </w:divBdr>
        </w:div>
        <w:div w:id="787165084">
          <w:marLeft w:val="533"/>
          <w:marRight w:val="0"/>
          <w:marTop w:val="0"/>
          <w:marBottom w:val="0"/>
          <w:divBdr>
            <w:top w:val="none" w:sz="0" w:space="0" w:color="auto"/>
            <w:left w:val="none" w:sz="0" w:space="0" w:color="auto"/>
            <w:bottom w:val="none" w:sz="0" w:space="0" w:color="auto"/>
            <w:right w:val="none" w:sz="0" w:space="0" w:color="auto"/>
          </w:divBdr>
        </w:div>
        <w:div w:id="524172029">
          <w:marLeft w:val="533"/>
          <w:marRight w:val="0"/>
          <w:marTop w:val="0"/>
          <w:marBottom w:val="0"/>
          <w:divBdr>
            <w:top w:val="none" w:sz="0" w:space="0" w:color="auto"/>
            <w:left w:val="none" w:sz="0" w:space="0" w:color="auto"/>
            <w:bottom w:val="none" w:sz="0" w:space="0" w:color="auto"/>
            <w:right w:val="none" w:sz="0" w:space="0" w:color="auto"/>
          </w:divBdr>
        </w:div>
        <w:div w:id="2046439873">
          <w:marLeft w:val="533"/>
          <w:marRight w:val="0"/>
          <w:marTop w:val="0"/>
          <w:marBottom w:val="0"/>
          <w:divBdr>
            <w:top w:val="none" w:sz="0" w:space="0" w:color="auto"/>
            <w:left w:val="none" w:sz="0" w:space="0" w:color="auto"/>
            <w:bottom w:val="none" w:sz="0" w:space="0" w:color="auto"/>
            <w:right w:val="none" w:sz="0" w:space="0" w:color="auto"/>
          </w:divBdr>
        </w:div>
      </w:divsChild>
    </w:div>
    <w:div w:id="1285692122">
      <w:bodyDiv w:val="1"/>
      <w:marLeft w:val="0"/>
      <w:marRight w:val="0"/>
      <w:marTop w:val="0"/>
      <w:marBottom w:val="0"/>
      <w:divBdr>
        <w:top w:val="none" w:sz="0" w:space="0" w:color="auto"/>
        <w:left w:val="none" w:sz="0" w:space="0" w:color="auto"/>
        <w:bottom w:val="none" w:sz="0" w:space="0" w:color="auto"/>
        <w:right w:val="none" w:sz="0" w:space="0" w:color="auto"/>
      </w:divBdr>
      <w:divsChild>
        <w:div w:id="1002901377">
          <w:marLeft w:val="446"/>
          <w:marRight w:val="0"/>
          <w:marTop w:val="0"/>
          <w:marBottom w:val="0"/>
          <w:divBdr>
            <w:top w:val="none" w:sz="0" w:space="0" w:color="auto"/>
            <w:left w:val="none" w:sz="0" w:space="0" w:color="auto"/>
            <w:bottom w:val="none" w:sz="0" w:space="0" w:color="auto"/>
            <w:right w:val="none" w:sz="0" w:space="0" w:color="auto"/>
          </w:divBdr>
        </w:div>
      </w:divsChild>
    </w:div>
    <w:div w:id="1370687635">
      <w:bodyDiv w:val="1"/>
      <w:marLeft w:val="0"/>
      <w:marRight w:val="0"/>
      <w:marTop w:val="0"/>
      <w:marBottom w:val="0"/>
      <w:divBdr>
        <w:top w:val="none" w:sz="0" w:space="0" w:color="auto"/>
        <w:left w:val="none" w:sz="0" w:space="0" w:color="auto"/>
        <w:bottom w:val="none" w:sz="0" w:space="0" w:color="auto"/>
        <w:right w:val="none" w:sz="0" w:space="0" w:color="auto"/>
      </w:divBdr>
      <w:divsChild>
        <w:div w:id="1522668833">
          <w:marLeft w:val="274"/>
          <w:marRight w:val="0"/>
          <w:marTop w:val="0"/>
          <w:marBottom w:val="0"/>
          <w:divBdr>
            <w:top w:val="none" w:sz="0" w:space="0" w:color="auto"/>
            <w:left w:val="none" w:sz="0" w:space="0" w:color="auto"/>
            <w:bottom w:val="none" w:sz="0" w:space="0" w:color="auto"/>
            <w:right w:val="none" w:sz="0" w:space="0" w:color="auto"/>
          </w:divBdr>
        </w:div>
        <w:div w:id="1598054015">
          <w:marLeft w:val="533"/>
          <w:marRight w:val="0"/>
          <w:marTop w:val="0"/>
          <w:marBottom w:val="0"/>
          <w:divBdr>
            <w:top w:val="none" w:sz="0" w:space="0" w:color="auto"/>
            <w:left w:val="none" w:sz="0" w:space="0" w:color="auto"/>
            <w:bottom w:val="none" w:sz="0" w:space="0" w:color="auto"/>
            <w:right w:val="none" w:sz="0" w:space="0" w:color="auto"/>
          </w:divBdr>
        </w:div>
        <w:div w:id="323968862">
          <w:marLeft w:val="533"/>
          <w:marRight w:val="0"/>
          <w:marTop w:val="0"/>
          <w:marBottom w:val="0"/>
          <w:divBdr>
            <w:top w:val="none" w:sz="0" w:space="0" w:color="auto"/>
            <w:left w:val="none" w:sz="0" w:space="0" w:color="auto"/>
            <w:bottom w:val="none" w:sz="0" w:space="0" w:color="auto"/>
            <w:right w:val="none" w:sz="0" w:space="0" w:color="auto"/>
          </w:divBdr>
        </w:div>
        <w:div w:id="824668650">
          <w:marLeft w:val="274"/>
          <w:marRight w:val="0"/>
          <w:marTop w:val="0"/>
          <w:marBottom w:val="0"/>
          <w:divBdr>
            <w:top w:val="none" w:sz="0" w:space="0" w:color="auto"/>
            <w:left w:val="none" w:sz="0" w:space="0" w:color="auto"/>
            <w:bottom w:val="none" w:sz="0" w:space="0" w:color="auto"/>
            <w:right w:val="none" w:sz="0" w:space="0" w:color="auto"/>
          </w:divBdr>
        </w:div>
        <w:div w:id="1311593170">
          <w:marLeft w:val="533"/>
          <w:marRight w:val="0"/>
          <w:marTop w:val="0"/>
          <w:marBottom w:val="0"/>
          <w:divBdr>
            <w:top w:val="none" w:sz="0" w:space="0" w:color="auto"/>
            <w:left w:val="none" w:sz="0" w:space="0" w:color="auto"/>
            <w:bottom w:val="none" w:sz="0" w:space="0" w:color="auto"/>
            <w:right w:val="none" w:sz="0" w:space="0" w:color="auto"/>
          </w:divBdr>
        </w:div>
      </w:divsChild>
    </w:div>
    <w:div w:id="1374426359">
      <w:bodyDiv w:val="1"/>
      <w:marLeft w:val="0"/>
      <w:marRight w:val="0"/>
      <w:marTop w:val="0"/>
      <w:marBottom w:val="0"/>
      <w:divBdr>
        <w:top w:val="none" w:sz="0" w:space="0" w:color="auto"/>
        <w:left w:val="none" w:sz="0" w:space="0" w:color="auto"/>
        <w:bottom w:val="none" w:sz="0" w:space="0" w:color="auto"/>
        <w:right w:val="none" w:sz="0" w:space="0" w:color="auto"/>
      </w:divBdr>
      <w:divsChild>
        <w:div w:id="717097109">
          <w:marLeft w:val="0"/>
          <w:marRight w:val="0"/>
          <w:marTop w:val="0"/>
          <w:marBottom w:val="0"/>
          <w:divBdr>
            <w:top w:val="none" w:sz="0" w:space="0" w:color="auto"/>
            <w:left w:val="none" w:sz="0" w:space="0" w:color="auto"/>
            <w:bottom w:val="none" w:sz="0" w:space="0" w:color="auto"/>
            <w:right w:val="none" w:sz="0" w:space="0" w:color="auto"/>
          </w:divBdr>
        </w:div>
      </w:divsChild>
    </w:div>
    <w:div w:id="1435905327">
      <w:bodyDiv w:val="1"/>
      <w:marLeft w:val="0"/>
      <w:marRight w:val="0"/>
      <w:marTop w:val="0"/>
      <w:marBottom w:val="0"/>
      <w:divBdr>
        <w:top w:val="none" w:sz="0" w:space="0" w:color="auto"/>
        <w:left w:val="none" w:sz="0" w:space="0" w:color="auto"/>
        <w:bottom w:val="none" w:sz="0" w:space="0" w:color="auto"/>
        <w:right w:val="none" w:sz="0" w:space="0" w:color="auto"/>
      </w:divBdr>
      <w:divsChild>
        <w:div w:id="504201096">
          <w:marLeft w:val="274"/>
          <w:marRight w:val="0"/>
          <w:marTop w:val="0"/>
          <w:marBottom w:val="0"/>
          <w:divBdr>
            <w:top w:val="none" w:sz="0" w:space="0" w:color="auto"/>
            <w:left w:val="none" w:sz="0" w:space="0" w:color="auto"/>
            <w:bottom w:val="none" w:sz="0" w:space="0" w:color="auto"/>
            <w:right w:val="none" w:sz="0" w:space="0" w:color="auto"/>
          </w:divBdr>
        </w:div>
        <w:div w:id="1056272653">
          <w:marLeft w:val="274"/>
          <w:marRight w:val="0"/>
          <w:marTop w:val="0"/>
          <w:marBottom w:val="0"/>
          <w:divBdr>
            <w:top w:val="none" w:sz="0" w:space="0" w:color="auto"/>
            <w:left w:val="none" w:sz="0" w:space="0" w:color="auto"/>
            <w:bottom w:val="none" w:sz="0" w:space="0" w:color="auto"/>
            <w:right w:val="none" w:sz="0" w:space="0" w:color="auto"/>
          </w:divBdr>
        </w:div>
        <w:div w:id="1394085053">
          <w:marLeft w:val="533"/>
          <w:marRight w:val="0"/>
          <w:marTop w:val="0"/>
          <w:marBottom w:val="0"/>
          <w:divBdr>
            <w:top w:val="none" w:sz="0" w:space="0" w:color="auto"/>
            <w:left w:val="none" w:sz="0" w:space="0" w:color="auto"/>
            <w:bottom w:val="none" w:sz="0" w:space="0" w:color="auto"/>
            <w:right w:val="none" w:sz="0" w:space="0" w:color="auto"/>
          </w:divBdr>
        </w:div>
        <w:div w:id="1360157612">
          <w:marLeft w:val="274"/>
          <w:marRight w:val="0"/>
          <w:marTop w:val="0"/>
          <w:marBottom w:val="0"/>
          <w:divBdr>
            <w:top w:val="none" w:sz="0" w:space="0" w:color="auto"/>
            <w:left w:val="none" w:sz="0" w:space="0" w:color="auto"/>
            <w:bottom w:val="none" w:sz="0" w:space="0" w:color="auto"/>
            <w:right w:val="none" w:sz="0" w:space="0" w:color="auto"/>
          </w:divBdr>
        </w:div>
        <w:div w:id="747117198">
          <w:marLeft w:val="274"/>
          <w:marRight w:val="0"/>
          <w:marTop w:val="0"/>
          <w:marBottom w:val="0"/>
          <w:divBdr>
            <w:top w:val="none" w:sz="0" w:space="0" w:color="auto"/>
            <w:left w:val="none" w:sz="0" w:space="0" w:color="auto"/>
            <w:bottom w:val="none" w:sz="0" w:space="0" w:color="auto"/>
            <w:right w:val="none" w:sz="0" w:space="0" w:color="auto"/>
          </w:divBdr>
        </w:div>
        <w:div w:id="1052576174">
          <w:marLeft w:val="274"/>
          <w:marRight w:val="0"/>
          <w:marTop w:val="0"/>
          <w:marBottom w:val="0"/>
          <w:divBdr>
            <w:top w:val="none" w:sz="0" w:space="0" w:color="auto"/>
            <w:left w:val="none" w:sz="0" w:space="0" w:color="auto"/>
            <w:bottom w:val="none" w:sz="0" w:space="0" w:color="auto"/>
            <w:right w:val="none" w:sz="0" w:space="0" w:color="auto"/>
          </w:divBdr>
        </w:div>
        <w:div w:id="1770468085">
          <w:marLeft w:val="274"/>
          <w:marRight w:val="0"/>
          <w:marTop w:val="0"/>
          <w:marBottom w:val="0"/>
          <w:divBdr>
            <w:top w:val="none" w:sz="0" w:space="0" w:color="auto"/>
            <w:left w:val="none" w:sz="0" w:space="0" w:color="auto"/>
            <w:bottom w:val="none" w:sz="0" w:space="0" w:color="auto"/>
            <w:right w:val="none" w:sz="0" w:space="0" w:color="auto"/>
          </w:divBdr>
        </w:div>
        <w:div w:id="571308259">
          <w:marLeft w:val="274"/>
          <w:marRight w:val="0"/>
          <w:marTop w:val="0"/>
          <w:marBottom w:val="0"/>
          <w:divBdr>
            <w:top w:val="none" w:sz="0" w:space="0" w:color="auto"/>
            <w:left w:val="none" w:sz="0" w:space="0" w:color="auto"/>
            <w:bottom w:val="none" w:sz="0" w:space="0" w:color="auto"/>
            <w:right w:val="none" w:sz="0" w:space="0" w:color="auto"/>
          </w:divBdr>
        </w:div>
      </w:divsChild>
    </w:div>
    <w:div w:id="1460566538">
      <w:bodyDiv w:val="1"/>
      <w:marLeft w:val="0"/>
      <w:marRight w:val="0"/>
      <w:marTop w:val="0"/>
      <w:marBottom w:val="0"/>
      <w:divBdr>
        <w:top w:val="none" w:sz="0" w:space="0" w:color="auto"/>
        <w:left w:val="none" w:sz="0" w:space="0" w:color="auto"/>
        <w:bottom w:val="none" w:sz="0" w:space="0" w:color="auto"/>
        <w:right w:val="none" w:sz="0" w:space="0" w:color="auto"/>
      </w:divBdr>
      <w:divsChild>
        <w:div w:id="934246821">
          <w:marLeft w:val="274"/>
          <w:marRight w:val="0"/>
          <w:marTop w:val="240"/>
          <w:marBottom w:val="0"/>
          <w:divBdr>
            <w:top w:val="none" w:sz="0" w:space="0" w:color="auto"/>
            <w:left w:val="none" w:sz="0" w:space="0" w:color="auto"/>
            <w:bottom w:val="none" w:sz="0" w:space="0" w:color="auto"/>
            <w:right w:val="none" w:sz="0" w:space="0" w:color="auto"/>
          </w:divBdr>
        </w:div>
      </w:divsChild>
    </w:div>
    <w:div w:id="1510098777">
      <w:bodyDiv w:val="1"/>
      <w:marLeft w:val="0"/>
      <w:marRight w:val="0"/>
      <w:marTop w:val="0"/>
      <w:marBottom w:val="0"/>
      <w:divBdr>
        <w:top w:val="none" w:sz="0" w:space="0" w:color="auto"/>
        <w:left w:val="none" w:sz="0" w:space="0" w:color="auto"/>
        <w:bottom w:val="none" w:sz="0" w:space="0" w:color="auto"/>
        <w:right w:val="none" w:sz="0" w:space="0" w:color="auto"/>
      </w:divBdr>
      <w:divsChild>
        <w:div w:id="825898271">
          <w:marLeft w:val="274"/>
          <w:marRight w:val="0"/>
          <w:marTop w:val="0"/>
          <w:marBottom w:val="0"/>
          <w:divBdr>
            <w:top w:val="none" w:sz="0" w:space="0" w:color="auto"/>
            <w:left w:val="none" w:sz="0" w:space="0" w:color="auto"/>
            <w:bottom w:val="none" w:sz="0" w:space="0" w:color="auto"/>
            <w:right w:val="none" w:sz="0" w:space="0" w:color="auto"/>
          </w:divBdr>
        </w:div>
        <w:div w:id="953555518">
          <w:marLeft w:val="274"/>
          <w:marRight w:val="0"/>
          <w:marTop w:val="0"/>
          <w:marBottom w:val="0"/>
          <w:divBdr>
            <w:top w:val="none" w:sz="0" w:space="0" w:color="auto"/>
            <w:left w:val="none" w:sz="0" w:space="0" w:color="auto"/>
            <w:bottom w:val="none" w:sz="0" w:space="0" w:color="auto"/>
            <w:right w:val="none" w:sz="0" w:space="0" w:color="auto"/>
          </w:divBdr>
        </w:div>
      </w:divsChild>
    </w:div>
    <w:div w:id="1567911117">
      <w:bodyDiv w:val="1"/>
      <w:marLeft w:val="0"/>
      <w:marRight w:val="0"/>
      <w:marTop w:val="0"/>
      <w:marBottom w:val="0"/>
      <w:divBdr>
        <w:top w:val="none" w:sz="0" w:space="0" w:color="auto"/>
        <w:left w:val="none" w:sz="0" w:space="0" w:color="auto"/>
        <w:bottom w:val="none" w:sz="0" w:space="0" w:color="auto"/>
        <w:right w:val="none" w:sz="0" w:space="0" w:color="auto"/>
      </w:divBdr>
      <w:divsChild>
        <w:div w:id="1757509302">
          <w:marLeft w:val="806"/>
          <w:marRight w:val="0"/>
          <w:marTop w:val="0"/>
          <w:marBottom w:val="0"/>
          <w:divBdr>
            <w:top w:val="none" w:sz="0" w:space="0" w:color="auto"/>
            <w:left w:val="none" w:sz="0" w:space="0" w:color="auto"/>
            <w:bottom w:val="none" w:sz="0" w:space="0" w:color="auto"/>
            <w:right w:val="none" w:sz="0" w:space="0" w:color="auto"/>
          </w:divBdr>
        </w:div>
        <w:div w:id="975372969">
          <w:marLeft w:val="1080"/>
          <w:marRight w:val="0"/>
          <w:marTop w:val="0"/>
          <w:marBottom w:val="0"/>
          <w:divBdr>
            <w:top w:val="none" w:sz="0" w:space="0" w:color="auto"/>
            <w:left w:val="none" w:sz="0" w:space="0" w:color="auto"/>
            <w:bottom w:val="none" w:sz="0" w:space="0" w:color="auto"/>
            <w:right w:val="none" w:sz="0" w:space="0" w:color="auto"/>
          </w:divBdr>
        </w:div>
        <w:div w:id="665594547">
          <w:marLeft w:val="806"/>
          <w:marRight w:val="0"/>
          <w:marTop w:val="0"/>
          <w:marBottom w:val="0"/>
          <w:divBdr>
            <w:top w:val="none" w:sz="0" w:space="0" w:color="auto"/>
            <w:left w:val="none" w:sz="0" w:space="0" w:color="auto"/>
            <w:bottom w:val="none" w:sz="0" w:space="0" w:color="auto"/>
            <w:right w:val="none" w:sz="0" w:space="0" w:color="auto"/>
          </w:divBdr>
        </w:div>
        <w:div w:id="1995719600">
          <w:marLeft w:val="1080"/>
          <w:marRight w:val="0"/>
          <w:marTop w:val="0"/>
          <w:marBottom w:val="0"/>
          <w:divBdr>
            <w:top w:val="none" w:sz="0" w:space="0" w:color="auto"/>
            <w:left w:val="none" w:sz="0" w:space="0" w:color="auto"/>
            <w:bottom w:val="none" w:sz="0" w:space="0" w:color="auto"/>
            <w:right w:val="none" w:sz="0" w:space="0" w:color="auto"/>
          </w:divBdr>
        </w:div>
        <w:div w:id="1876888209">
          <w:marLeft w:val="806"/>
          <w:marRight w:val="0"/>
          <w:marTop w:val="0"/>
          <w:marBottom w:val="0"/>
          <w:divBdr>
            <w:top w:val="none" w:sz="0" w:space="0" w:color="auto"/>
            <w:left w:val="none" w:sz="0" w:space="0" w:color="auto"/>
            <w:bottom w:val="none" w:sz="0" w:space="0" w:color="auto"/>
            <w:right w:val="none" w:sz="0" w:space="0" w:color="auto"/>
          </w:divBdr>
        </w:div>
      </w:divsChild>
    </w:div>
    <w:div w:id="1614705181">
      <w:bodyDiv w:val="1"/>
      <w:marLeft w:val="0"/>
      <w:marRight w:val="0"/>
      <w:marTop w:val="0"/>
      <w:marBottom w:val="0"/>
      <w:divBdr>
        <w:top w:val="none" w:sz="0" w:space="0" w:color="auto"/>
        <w:left w:val="none" w:sz="0" w:space="0" w:color="auto"/>
        <w:bottom w:val="none" w:sz="0" w:space="0" w:color="auto"/>
        <w:right w:val="none" w:sz="0" w:space="0" w:color="auto"/>
      </w:divBdr>
    </w:div>
    <w:div w:id="1704672903">
      <w:bodyDiv w:val="1"/>
      <w:marLeft w:val="0"/>
      <w:marRight w:val="0"/>
      <w:marTop w:val="0"/>
      <w:marBottom w:val="0"/>
      <w:divBdr>
        <w:top w:val="none" w:sz="0" w:space="0" w:color="auto"/>
        <w:left w:val="none" w:sz="0" w:space="0" w:color="auto"/>
        <w:bottom w:val="none" w:sz="0" w:space="0" w:color="auto"/>
        <w:right w:val="none" w:sz="0" w:space="0" w:color="auto"/>
      </w:divBdr>
      <w:divsChild>
        <w:div w:id="397366087">
          <w:marLeft w:val="446"/>
          <w:marRight w:val="0"/>
          <w:marTop w:val="0"/>
          <w:marBottom w:val="0"/>
          <w:divBdr>
            <w:top w:val="none" w:sz="0" w:space="0" w:color="auto"/>
            <w:left w:val="none" w:sz="0" w:space="0" w:color="auto"/>
            <w:bottom w:val="none" w:sz="0" w:space="0" w:color="auto"/>
            <w:right w:val="none" w:sz="0" w:space="0" w:color="auto"/>
          </w:divBdr>
        </w:div>
      </w:divsChild>
    </w:div>
    <w:div w:id="1847209026">
      <w:bodyDiv w:val="1"/>
      <w:marLeft w:val="0"/>
      <w:marRight w:val="0"/>
      <w:marTop w:val="0"/>
      <w:marBottom w:val="0"/>
      <w:divBdr>
        <w:top w:val="none" w:sz="0" w:space="0" w:color="auto"/>
        <w:left w:val="none" w:sz="0" w:space="0" w:color="auto"/>
        <w:bottom w:val="none" w:sz="0" w:space="0" w:color="auto"/>
        <w:right w:val="none" w:sz="0" w:space="0" w:color="auto"/>
      </w:divBdr>
      <w:divsChild>
        <w:div w:id="1712531288">
          <w:marLeft w:val="274"/>
          <w:marRight w:val="0"/>
          <w:marTop w:val="240"/>
          <w:marBottom w:val="0"/>
          <w:divBdr>
            <w:top w:val="none" w:sz="0" w:space="0" w:color="auto"/>
            <w:left w:val="none" w:sz="0" w:space="0" w:color="auto"/>
            <w:bottom w:val="none" w:sz="0" w:space="0" w:color="auto"/>
            <w:right w:val="none" w:sz="0" w:space="0" w:color="auto"/>
          </w:divBdr>
        </w:div>
        <w:div w:id="501747481">
          <w:marLeft w:val="533"/>
          <w:marRight w:val="0"/>
          <w:marTop w:val="0"/>
          <w:marBottom w:val="0"/>
          <w:divBdr>
            <w:top w:val="none" w:sz="0" w:space="0" w:color="auto"/>
            <w:left w:val="none" w:sz="0" w:space="0" w:color="auto"/>
            <w:bottom w:val="none" w:sz="0" w:space="0" w:color="auto"/>
            <w:right w:val="none" w:sz="0" w:space="0" w:color="auto"/>
          </w:divBdr>
        </w:div>
        <w:div w:id="2041123834">
          <w:marLeft w:val="533"/>
          <w:marRight w:val="0"/>
          <w:marTop w:val="0"/>
          <w:marBottom w:val="0"/>
          <w:divBdr>
            <w:top w:val="none" w:sz="0" w:space="0" w:color="auto"/>
            <w:left w:val="none" w:sz="0" w:space="0" w:color="auto"/>
            <w:bottom w:val="none" w:sz="0" w:space="0" w:color="auto"/>
            <w:right w:val="none" w:sz="0" w:space="0" w:color="auto"/>
          </w:divBdr>
        </w:div>
        <w:div w:id="1959947282">
          <w:marLeft w:val="274"/>
          <w:marRight w:val="0"/>
          <w:marTop w:val="240"/>
          <w:marBottom w:val="0"/>
          <w:divBdr>
            <w:top w:val="none" w:sz="0" w:space="0" w:color="auto"/>
            <w:left w:val="none" w:sz="0" w:space="0" w:color="auto"/>
            <w:bottom w:val="none" w:sz="0" w:space="0" w:color="auto"/>
            <w:right w:val="none" w:sz="0" w:space="0" w:color="auto"/>
          </w:divBdr>
        </w:div>
        <w:div w:id="1991908664">
          <w:marLeft w:val="533"/>
          <w:marRight w:val="0"/>
          <w:marTop w:val="0"/>
          <w:marBottom w:val="0"/>
          <w:divBdr>
            <w:top w:val="none" w:sz="0" w:space="0" w:color="auto"/>
            <w:left w:val="none" w:sz="0" w:space="0" w:color="auto"/>
            <w:bottom w:val="none" w:sz="0" w:space="0" w:color="auto"/>
            <w:right w:val="none" w:sz="0" w:space="0" w:color="auto"/>
          </w:divBdr>
        </w:div>
        <w:div w:id="136654762">
          <w:marLeft w:val="533"/>
          <w:marRight w:val="0"/>
          <w:marTop w:val="0"/>
          <w:marBottom w:val="0"/>
          <w:divBdr>
            <w:top w:val="none" w:sz="0" w:space="0" w:color="auto"/>
            <w:left w:val="none" w:sz="0" w:space="0" w:color="auto"/>
            <w:bottom w:val="none" w:sz="0" w:space="0" w:color="auto"/>
            <w:right w:val="none" w:sz="0" w:space="0" w:color="auto"/>
          </w:divBdr>
        </w:div>
        <w:div w:id="1522403198">
          <w:marLeft w:val="533"/>
          <w:marRight w:val="0"/>
          <w:marTop w:val="0"/>
          <w:marBottom w:val="0"/>
          <w:divBdr>
            <w:top w:val="none" w:sz="0" w:space="0" w:color="auto"/>
            <w:left w:val="none" w:sz="0" w:space="0" w:color="auto"/>
            <w:bottom w:val="none" w:sz="0" w:space="0" w:color="auto"/>
            <w:right w:val="none" w:sz="0" w:space="0" w:color="auto"/>
          </w:divBdr>
        </w:div>
      </w:divsChild>
    </w:div>
    <w:div w:id="1857890469">
      <w:bodyDiv w:val="1"/>
      <w:marLeft w:val="0"/>
      <w:marRight w:val="0"/>
      <w:marTop w:val="0"/>
      <w:marBottom w:val="0"/>
      <w:divBdr>
        <w:top w:val="none" w:sz="0" w:space="0" w:color="auto"/>
        <w:left w:val="none" w:sz="0" w:space="0" w:color="auto"/>
        <w:bottom w:val="none" w:sz="0" w:space="0" w:color="auto"/>
        <w:right w:val="none" w:sz="0" w:space="0" w:color="auto"/>
      </w:divBdr>
      <w:divsChild>
        <w:div w:id="1493790921">
          <w:marLeft w:val="0"/>
          <w:marRight w:val="0"/>
          <w:marTop w:val="0"/>
          <w:marBottom w:val="0"/>
          <w:divBdr>
            <w:top w:val="none" w:sz="0" w:space="0" w:color="auto"/>
            <w:left w:val="none" w:sz="0" w:space="0" w:color="auto"/>
            <w:bottom w:val="none" w:sz="0" w:space="0" w:color="auto"/>
            <w:right w:val="none" w:sz="0" w:space="0" w:color="auto"/>
          </w:divBdr>
        </w:div>
      </w:divsChild>
    </w:div>
    <w:div w:id="1859156471">
      <w:bodyDiv w:val="1"/>
      <w:marLeft w:val="0"/>
      <w:marRight w:val="0"/>
      <w:marTop w:val="0"/>
      <w:marBottom w:val="0"/>
      <w:divBdr>
        <w:top w:val="none" w:sz="0" w:space="0" w:color="auto"/>
        <w:left w:val="none" w:sz="0" w:space="0" w:color="auto"/>
        <w:bottom w:val="none" w:sz="0" w:space="0" w:color="auto"/>
        <w:right w:val="none" w:sz="0" w:space="0" w:color="auto"/>
      </w:divBdr>
      <w:divsChild>
        <w:div w:id="1209220370">
          <w:marLeft w:val="533"/>
          <w:marRight w:val="0"/>
          <w:marTop w:val="0"/>
          <w:marBottom w:val="0"/>
          <w:divBdr>
            <w:top w:val="none" w:sz="0" w:space="0" w:color="auto"/>
            <w:left w:val="none" w:sz="0" w:space="0" w:color="auto"/>
            <w:bottom w:val="none" w:sz="0" w:space="0" w:color="auto"/>
            <w:right w:val="none" w:sz="0" w:space="0" w:color="auto"/>
          </w:divBdr>
        </w:div>
      </w:divsChild>
    </w:div>
    <w:div w:id="1876774870">
      <w:bodyDiv w:val="1"/>
      <w:marLeft w:val="0"/>
      <w:marRight w:val="0"/>
      <w:marTop w:val="0"/>
      <w:marBottom w:val="0"/>
      <w:divBdr>
        <w:top w:val="none" w:sz="0" w:space="0" w:color="auto"/>
        <w:left w:val="none" w:sz="0" w:space="0" w:color="auto"/>
        <w:bottom w:val="none" w:sz="0" w:space="0" w:color="auto"/>
        <w:right w:val="none" w:sz="0" w:space="0" w:color="auto"/>
      </w:divBdr>
      <w:divsChild>
        <w:div w:id="1923754130">
          <w:marLeft w:val="274"/>
          <w:marRight w:val="0"/>
          <w:marTop w:val="0"/>
          <w:marBottom w:val="0"/>
          <w:divBdr>
            <w:top w:val="none" w:sz="0" w:space="0" w:color="auto"/>
            <w:left w:val="none" w:sz="0" w:space="0" w:color="auto"/>
            <w:bottom w:val="none" w:sz="0" w:space="0" w:color="auto"/>
            <w:right w:val="none" w:sz="0" w:space="0" w:color="auto"/>
          </w:divBdr>
        </w:div>
        <w:div w:id="260264736">
          <w:marLeft w:val="274"/>
          <w:marRight w:val="0"/>
          <w:marTop w:val="0"/>
          <w:marBottom w:val="0"/>
          <w:divBdr>
            <w:top w:val="none" w:sz="0" w:space="0" w:color="auto"/>
            <w:left w:val="none" w:sz="0" w:space="0" w:color="auto"/>
            <w:bottom w:val="none" w:sz="0" w:space="0" w:color="auto"/>
            <w:right w:val="none" w:sz="0" w:space="0" w:color="auto"/>
          </w:divBdr>
        </w:div>
        <w:div w:id="1512336097">
          <w:marLeft w:val="274"/>
          <w:marRight w:val="0"/>
          <w:marTop w:val="0"/>
          <w:marBottom w:val="0"/>
          <w:divBdr>
            <w:top w:val="none" w:sz="0" w:space="0" w:color="auto"/>
            <w:left w:val="none" w:sz="0" w:space="0" w:color="auto"/>
            <w:bottom w:val="none" w:sz="0" w:space="0" w:color="auto"/>
            <w:right w:val="none" w:sz="0" w:space="0" w:color="auto"/>
          </w:divBdr>
        </w:div>
      </w:divsChild>
    </w:div>
    <w:div w:id="1921939037">
      <w:bodyDiv w:val="1"/>
      <w:marLeft w:val="0"/>
      <w:marRight w:val="0"/>
      <w:marTop w:val="0"/>
      <w:marBottom w:val="0"/>
      <w:divBdr>
        <w:top w:val="none" w:sz="0" w:space="0" w:color="auto"/>
        <w:left w:val="none" w:sz="0" w:space="0" w:color="auto"/>
        <w:bottom w:val="none" w:sz="0" w:space="0" w:color="auto"/>
        <w:right w:val="none" w:sz="0" w:space="0" w:color="auto"/>
      </w:divBdr>
      <w:divsChild>
        <w:div w:id="446125877">
          <w:marLeft w:val="274"/>
          <w:marRight w:val="0"/>
          <w:marTop w:val="240"/>
          <w:marBottom w:val="0"/>
          <w:divBdr>
            <w:top w:val="none" w:sz="0" w:space="0" w:color="auto"/>
            <w:left w:val="none" w:sz="0" w:space="0" w:color="auto"/>
            <w:bottom w:val="none" w:sz="0" w:space="0" w:color="auto"/>
            <w:right w:val="none" w:sz="0" w:space="0" w:color="auto"/>
          </w:divBdr>
        </w:div>
        <w:div w:id="1211453904">
          <w:marLeft w:val="533"/>
          <w:marRight w:val="0"/>
          <w:marTop w:val="0"/>
          <w:marBottom w:val="0"/>
          <w:divBdr>
            <w:top w:val="none" w:sz="0" w:space="0" w:color="auto"/>
            <w:left w:val="none" w:sz="0" w:space="0" w:color="auto"/>
            <w:bottom w:val="none" w:sz="0" w:space="0" w:color="auto"/>
            <w:right w:val="none" w:sz="0" w:space="0" w:color="auto"/>
          </w:divBdr>
        </w:div>
        <w:div w:id="1042249044">
          <w:marLeft w:val="533"/>
          <w:marRight w:val="0"/>
          <w:marTop w:val="0"/>
          <w:marBottom w:val="0"/>
          <w:divBdr>
            <w:top w:val="none" w:sz="0" w:space="0" w:color="auto"/>
            <w:left w:val="none" w:sz="0" w:space="0" w:color="auto"/>
            <w:bottom w:val="none" w:sz="0" w:space="0" w:color="auto"/>
            <w:right w:val="none" w:sz="0" w:space="0" w:color="auto"/>
          </w:divBdr>
        </w:div>
        <w:div w:id="197042995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2FHT6SDPEKRM-335803755-41041</_dlc_DocId>
    <_dlc_DocIdUrl xmlns="12c87010-54c7-4968-977c-9bb319d35727">
      <Url>https://qualcomm.sharepoint.com/teams/SkyBer/_layouts/15/DocIdRedir.aspx?ID=2FHT6SDPEKRM-335803755-41041</Url>
      <Description>2FHT6SDPEKRM-335803755-41041</Description>
    </_dlc_DocIdUrl>
    <_dlc_DocIdPersistId xmlns="12c87010-54c7-4968-977c-9bb319d357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B02CF-750C-449F-A805-08AFA8D76B07}">
  <ds:schemaRefs>
    <ds:schemaRef ds:uri="http://schemas.microsoft.com/sharepoint/events"/>
  </ds:schemaRefs>
</ds:datastoreItem>
</file>

<file path=customXml/itemProps2.xml><?xml version="1.0" encoding="utf-8"?>
<ds:datastoreItem xmlns:ds="http://schemas.openxmlformats.org/officeDocument/2006/customXml" ds:itemID="{E88B7D4A-4003-48C3-B628-697EDDC17683}">
  <ds:schemaRefs>
    <ds:schemaRef ds:uri="http://schemas.microsoft.com/sharepoint/v3/contenttype/forms"/>
  </ds:schemaRefs>
</ds:datastoreItem>
</file>

<file path=customXml/itemProps3.xml><?xml version="1.0" encoding="utf-8"?>
<ds:datastoreItem xmlns:ds="http://schemas.openxmlformats.org/officeDocument/2006/customXml" ds:itemID="{256F9594-DB4C-44DB-A9D6-9AA99E7E0603}">
  <ds:schemaRefs>
    <ds:schemaRef ds:uri="http://schemas.microsoft.com/office/2006/metadata/properties"/>
    <ds:schemaRef ds:uri="http://schemas.microsoft.com/office/infopath/2007/PartnerControls"/>
    <ds:schemaRef ds:uri="12c87010-54c7-4968-977c-9bb319d35727"/>
  </ds:schemaRefs>
</ds:datastoreItem>
</file>

<file path=customXml/itemProps4.xml><?xml version="1.0" encoding="utf-8"?>
<ds:datastoreItem xmlns:ds="http://schemas.openxmlformats.org/officeDocument/2006/customXml" ds:itemID="{5611B8DF-BD40-4436-8102-3F67AB8BB6D8}">
  <ds:schemaRefs>
    <ds:schemaRef ds:uri="http://schemas.openxmlformats.org/officeDocument/2006/bibliography"/>
  </ds:schemaRefs>
</ds:datastoreItem>
</file>

<file path=customXml/itemProps5.xml><?xml version="1.0" encoding="utf-8"?>
<ds:datastoreItem xmlns:ds="http://schemas.openxmlformats.org/officeDocument/2006/customXml" ds:itemID="{2882F4F9-DF59-4C27-A24B-84E2802D3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13955</TotalTime>
  <Pages>18</Pages>
  <Words>7376</Words>
  <Characters>42046</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1976</cp:revision>
  <cp:lastPrinted>1900-01-01T05:00:00Z</cp:lastPrinted>
  <dcterms:created xsi:type="dcterms:W3CDTF">2019-08-14T14:40:00Z</dcterms:created>
  <dcterms:modified xsi:type="dcterms:W3CDTF">2021-10-02T02:09:00Z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836b9760-d74d-4838-b2a7-23d606f8d384</vt:lpwstr>
  </property>
</Properties>
</file>